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GoBack"/>
      <w:bookmarkEnd w:id="0"/>
    </w:p>
    <w:p/>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党建引领</w:t>
      </w:r>
      <w:r>
        <w:rPr>
          <w:rFonts w:hint="eastAsia" w:ascii="方正小标宋简体" w:hAnsi="方正小标宋简体" w:eastAsia="方正小标宋简体" w:cs="方正小标宋简体"/>
          <w:sz w:val="44"/>
          <w:szCs w:val="44"/>
          <w:lang w:val="en-US" w:eastAsia="zh-CN"/>
        </w:rPr>
        <w:t xml:space="preserve"> 凝心聚力</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全力推动</w:t>
      </w:r>
      <w:r>
        <w:rPr>
          <w:rFonts w:hint="eastAsia" w:ascii="方正小标宋简体" w:hAnsi="方正小标宋简体" w:eastAsia="方正小标宋简体" w:cs="方正小标宋简体"/>
          <w:sz w:val="44"/>
          <w:szCs w:val="44"/>
        </w:rPr>
        <w:t>医疗保障事业</w:t>
      </w:r>
      <w:r>
        <w:rPr>
          <w:rFonts w:hint="eastAsia" w:ascii="方正小标宋简体" w:hAnsi="方正小标宋简体" w:eastAsia="方正小标宋简体" w:cs="方正小标宋简体"/>
          <w:sz w:val="44"/>
          <w:szCs w:val="44"/>
          <w:lang w:eastAsia="zh-CN"/>
        </w:rPr>
        <w:t>高质量发</w:t>
      </w:r>
      <w:r>
        <w:rPr>
          <w:rFonts w:hint="eastAsia" w:ascii="方正小标宋简体" w:hAnsi="方正小标宋简体" w:eastAsia="方正小标宋简体" w:cs="方正小标宋简体"/>
          <w:sz w:val="44"/>
          <w:szCs w:val="44"/>
        </w:rPr>
        <w:t>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rPr>
        <w:t xml:space="preserve">--- </w:t>
      </w:r>
      <w:r>
        <w:rPr>
          <w:rFonts w:hint="eastAsia" w:ascii="楷体_GB2312" w:hAnsi="楷体_GB2312" w:eastAsia="楷体_GB2312" w:cs="楷体_GB2312"/>
          <w:sz w:val="32"/>
          <w:szCs w:val="32"/>
        </w:rPr>
        <w:t>区医保局党组书记</w:t>
      </w:r>
      <w:r>
        <w:rPr>
          <w:rFonts w:hint="eastAsia" w:ascii="楷体_GB2312" w:hAnsi="楷体_GB2312" w:eastAsia="楷体_GB2312" w:cs="楷体_GB2312"/>
          <w:sz w:val="32"/>
          <w:szCs w:val="32"/>
          <w:lang w:eastAsia="zh-CN"/>
        </w:rPr>
        <w:t>、党总支书记</w:t>
      </w:r>
      <w:r>
        <w:rPr>
          <w:rFonts w:hint="eastAsia" w:ascii="楷体_GB2312" w:hAnsi="楷体_GB2312" w:eastAsia="楷体_GB2312" w:cs="楷体_GB2312"/>
          <w:sz w:val="32"/>
          <w:szCs w:val="32"/>
        </w:rPr>
        <w:t xml:space="preserve"> 曹玉明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同志们：</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lang w:val="en"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kern w:val="36"/>
          <w:sz w:val="32"/>
          <w:szCs w:val="32"/>
          <w:lang w:val="en-US" w:eastAsia="zh-CN"/>
        </w:rPr>
        <w:t>今年是中国共产党成立101周年，也是党的二十大召开之年。党的十九届六中全会确立了习近平同志党中央核心、全党的核心地位，确立了习近平新时代中国特色社会主义思想的指导地位。“两个确立”是我们党百年奋斗历史经验的总结提炼和升华，具有丰富的政治内涵、深厚的实践基础和深远的决定性意义，拥护“两个确立”就是以实际行动迎接党的二十大胜利召开。今天，我想结合现</w:t>
      </w:r>
      <w:r>
        <w:rPr>
          <w:rFonts w:hint="default" w:ascii="仿宋_GB2312" w:hAnsi="仿宋_GB2312" w:eastAsia="仿宋_GB2312" w:cs="仿宋_GB2312"/>
          <w:color w:val="auto"/>
          <w:kern w:val="36"/>
          <w:sz w:val="32"/>
          <w:szCs w:val="32"/>
          <w:lang w:val="en-US" w:eastAsia="zh-CN"/>
        </w:rPr>
        <w:t>阶</w:t>
      </w:r>
      <w:r>
        <w:rPr>
          <w:rFonts w:hint="eastAsia" w:ascii="仿宋_GB2312" w:hAnsi="仿宋_GB2312" w:eastAsia="仿宋_GB2312" w:cs="仿宋_GB2312"/>
          <w:color w:val="auto"/>
          <w:kern w:val="36"/>
          <w:sz w:val="32"/>
          <w:szCs w:val="32"/>
          <w:lang w:val="en-US" w:eastAsia="zh-CN"/>
        </w:rPr>
        <w:t>段医保领域的党</w:t>
      </w:r>
      <w:r>
        <w:rPr>
          <w:rFonts w:hint="default" w:ascii="仿宋_GB2312" w:hAnsi="仿宋_GB2312" w:eastAsia="仿宋_GB2312" w:cs="仿宋_GB2312"/>
          <w:color w:val="auto"/>
          <w:kern w:val="36"/>
          <w:sz w:val="32"/>
          <w:szCs w:val="32"/>
          <w:lang w:val="en-US" w:eastAsia="zh-CN"/>
        </w:rPr>
        <w:t>建</w:t>
      </w:r>
      <w:r>
        <w:rPr>
          <w:rFonts w:hint="eastAsia" w:ascii="仿宋_GB2312" w:hAnsi="仿宋_GB2312" w:eastAsia="仿宋_GB2312" w:cs="仿宋_GB2312"/>
          <w:color w:val="auto"/>
          <w:kern w:val="36"/>
          <w:sz w:val="32"/>
          <w:szCs w:val="32"/>
          <w:lang w:val="en-US" w:eastAsia="zh-CN"/>
        </w:rPr>
        <w:t>工作实际，</w:t>
      </w:r>
      <w:r>
        <w:rPr>
          <w:rFonts w:hint="default" w:ascii="仿宋_GB2312" w:hAnsi="仿宋_GB2312" w:eastAsia="仿宋_GB2312" w:cs="仿宋_GB2312"/>
          <w:color w:val="auto"/>
          <w:kern w:val="36"/>
          <w:sz w:val="32"/>
          <w:szCs w:val="32"/>
          <w:lang w:val="en-US" w:eastAsia="zh-CN"/>
        </w:rPr>
        <w:t>以</w:t>
      </w:r>
      <w:r>
        <w:rPr>
          <w:rFonts w:hint="eastAsia" w:ascii="仿宋_GB2312" w:hAnsi="仿宋_GB2312" w:eastAsia="仿宋_GB2312" w:cs="仿宋_GB2312"/>
          <w:color w:val="auto"/>
          <w:kern w:val="36"/>
          <w:sz w:val="32"/>
          <w:szCs w:val="32"/>
          <w:lang w:val="en-US" w:eastAsia="zh-CN"/>
        </w:rPr>
        <w:t>及</w:t>
      </w:r>
      <w:r>
        <w:rPr>
          <w:rFonts w:hint="default" w:ascii="仿宋_GB2312" w:hAnsi="仿宋_GB2312" w:eastAsia="仿宋_GB2312" w:cs="仿宋_GB2312"/>
          <w:color w:val="auto"/>
          <w:kern w:val="36"/>
          <w:sz w:val="32"/>
          <w:szCs w:val="32"/>
          <w:lang w:val="en-US" w:eastAsia="zh-CN"/>
        </w:rPr>
        <w:t>民生问</w:t>
      </w:r>
      <w:r>
        <w:rPr>
          <w:rFonts w:hint="eastAsia" w:ascii="仿宋_GB2312" w:hAnsi="仿宋_GB2312" w:eastAsia="仿宋_GB2312" w:cs="仿宋_GB2312"/>
          <w:color w:val="auto"/>
          <w:kern w:val="36"/>
          <w:sz w:val="32"/>
          <w:szCs w:val="32"/>
          <w:lang w:val="en-US" w:eastAsia="zh-CN"/>
        </w:rPr>
        <w:t>题导</w:t>
      </w:r>
      <w:r>
        <w:rPr>
          <w:rFonts w:hint="default" w:ascii="仿宋_GB2312" w:hAnsi="仿宋_GB2312" w:eastAsia="仿宋_GB2312" w:cs="仿宋_GB2312"/>
          <w:color w:val="auto"/>
          <w:kern w:val="36"/>
          <w:sz w:val="32"/>
          <w:szCs w:val="32"/>
          <w:lang w:val="en-US" w:eastAsia="zh-CN"/>
        </w:rPr>
        <w:t>向</w:t>
      </w:r>
      <w:r>
        <w:rPr>
          <w:rFonts w:hint="eastAsia" w:ascii="仿宋_GB2312" w:hAnsi="仿宋_GB2312" w:eastAsia="仿宋_GB2312" w:cs="仿宋_GB2312"/>
          <w:color w:val="auto"/>
          <w:kern w:val="36"/>
          <w:sz w:val="32"/>
          <w:szCs w:val="32"/>
          <w:lang w:val="en-US" w:eastAsia="zh-CN"/>
        </w:rPr>
        <w:t>，</w:t>
      </w:r>
      <w:r>
        <w:rPr>
          <w:rFonts w:hint="default" w:ascii="仿宋_GB2312" w:hAnsi="仿宋_GB2312" w:eastAsia="仿宋_GB2312" w:cs="仿宋_GB2312"/>
          <w:color w:val="auto"/>
          <w:kern w:val="36"/>
          <w:sz w:val="32"/>
          <w:szCs w:val="32"/>
          <w:lang w:val="en-US" w:eastAsia="zh-CN"/>
        </w:rPr>
        <w:t>以</w:t>
      </w:r>
      <w:r>
        <w:rPr>
          <w:rFonts w:hint="eastAsia" w:ascii="仿宋_GB2312" w:hAnsi="仿宋_GB2312" w:eastAsia="仿宋_GB2312" w:cs="仿宋_GB2312"/>
          <w:color w:val="auto"/>
          <w:kern w:val="36"/>
          <w:sz w:val="32"/>
          <w:szCs w:val="32"/>
          <w:lang w:val="en-US" w:eastAsia="zh-CN"/>
        </w:rPr>
        <w:t>解决“看病</w:t>
      </w:r>
      <w:r>
        <w:rPr>
          <w:rFonts w:hint="default" w:ascii="仿宋_GB2312" w:hAnsi="仿宋_GB2312" w:eastAsia="仿宋_GB2312" w:cs="仿宋_GB2312"/>
          <w:color w:val="auto"/>
          <w:kern w:val="36"/>
          <w:sz w:val="32"/>
          <w:szCs w:val="32"/>
          <w:lang w:val="en-US" w:eastAsia="zh-CN"/>
        </w:rPr>
        <w:t>贵</w:t>
      </w:r>
      <w:r>
        <w:rPr>
          <w:rFonts w:hint="eastAsia" w:ascii="仿宋_GB2312" w:hAnsi="仿宋_GB2312" w:eastAsia="仿宋_GB2312" w:cs="仿宋_GB2312"/>
          <w:color w:val="auto"/>
          <w:kern w:val="36"/>
          <w:sz w:val="32"/>
          <w:szCs w:val="32"/>
          <w:lang w:val="en-US" w:eastAsia="zh-CN"/>
        </w:rPr>
        <w:t>、看病难”为出发点和落脚点，将我学习习近平治国理政思想的心得体会和大家分享：</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一、习近平治国理政思想的理论贡献（五大问题和五大规律）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宋体"/>
          <w:color w:val="auto"/>
          <w:kern w:val="0"/>
          <w:sz w:val="32"/>
          <w:szCs w:val="32"/>
          <w:shd w:val="clear" w:color="auto" w:fill="FFFFFF"/>
          <w:lang w:eastAsia="zh-CN"/>
        </w:rPr>
        <w:t>党的十八大以来，</w:t>
      </w:r>
      <w:r>
        <w:rPr>
          <w:rFonts w:hint="eastAsia" w:ascii="仿宋_GB2312" w:hAnsi="仿宋_GB2312" w:eastAsia="仿宋_GB2312" w:cs="宋体"/>
          <w:color w:val="auto"/>
          <w:kern w:val="0"/>
          <w:sz w:val="32"/>
          <w:szCs w:val="32"/>
          <w:shd w:val="clear" w:color="auto" w:fill="FFFFFF"/>
        </w:rPr>
        <w:t>以习近平同志为核心的中央领导集体，立足新阶段、新起点、新长征，在深入推进伟大斗争、伟大工程、伟大事业的崭新历史创造过程中，提出了一系列治国理政的新理念、新思想、新战略，创造性地回答了“五大问题”，进一步深化了对“五大规律”的认识。下面，我们来</w:t>
      </w:r>
      <w:r>
        <w:rPr>
          <w:rFonts w:hint="eastAsia" w:ascii="仿宋_GB2312" w:hAnsi="仿宋_GB2312" w:eastAsia="仿宋_GB2312" w:cs="宋体"/>
          <w:color w:val="auto"/>
          <w:kern w:val="0"/>
          <w:sz w:val="32"/>
          <w:szCs w:val="32"/>
          <w:shd w:val="clear" w:color="auto" w:fill="FFFFFF"/>
          <w:lang w:eastAsia="zh-CN"/>
        </w:rPr>
        <w:t>重温</w:t>
      </w:r>
      <w:r>
        <w:rPr>
          <w:rFonts w:hint="eastAsia" w:ascii="仿宋_GB2312" w:hAnsi="仿宋_GB2312" w:eastAsia="仿宋_GB2312" w:cs="宋体"/>
          <w:color w:val="auto"/>
          <w:kern w:val="0"/>
          <w:sz w:val="32"/>
          <w:szCs w:val="32"/>
          <w:shd w:val="clear" w:color="auto" w:fill="FFFFFF"/>
        </w:rPr>
        <w:t>学习一下这“五大问题”及“五大规律”的理论贡献。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一）围绕坚持和发展中国特色社会主义这个主题，创造性地回答了“建设什么样的中国特色社会主义制度，怎样完善发展中国特色社会主义制度”的问题，进一步深化了对中国特色社会主义规律即社会主义建设规律的认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党的十</w:t>
      </w:r>
      <w:r>
        <w:rPr>
          <w:rFonts w:hint="eastAsia" w:ascii="仿宋_GB2312" w:hAnsi="仿宋_GB2312" w:eastAsia="仿宋_GB2312" w:cs="仿宋_GB2312"/>
          <w:color w:val="auto"/>
          <w:sz w:val="32"/>
          <w:szCs w:val="32"/>
          <w:lang w:eastAsia="zh-CN"/>
        </w:rPr>
        <w:t>八</w:t>
      </w:r>
      <w:r>
        <w:rPr>
          <w:rFonts w:hint="eastAsia" w:ascii="仿宋_GB2312" w:hAnsi="仿宋_GB2312" w:eastAsia="仿宋_GB2312" w:cs="仿宋_GB2312"/>
          <w:color w:val="auto"/>
          <w:sz w:val="32"/>
          <w:szCs w:val="32"/>
        </w:rPr>
        <w:t>大以来，我们党紧紧围绕坚持和发展中国特色社会主义这个主题，继续拓展这条“正确道路”，在许多方面深化升华了社会主义基本理论、基本原则和基本经验。一是提出坚持以人民为中心的发展思想，这是唯物史观在当代中国发展中的具体运用，是党的宗旨在发展观上的集中体现，从而提炼升华了社会主义本质理论；二是强调社会主义初级阶段是建设中国特色社会主义的总依据，根据新阶段新形势提出经济发展新常态的现实依据，从而丰富了社会主义发展阶段理论；三是在新的历史起点上全面深化改革，推进以经济体制改革为重点和牵引的“六大改革”，通过新的改革，让制度更加成熟定型，让发展更有质量，让治理更有水平，让人民更有获得感，从而极大提升了社会主义发展动力理论；四是统筹推进“五位一体”总体布局和协调推进“四个全面”战略布局，两者相互促进、协调联动，提升发展的系统性、全面性、协调性，从而完善了社会主义全面发展理论；五是践行“五大发展理念”，破解了社会主义发展路径的难题，拓展了社会主义发展途径和发展目标理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（二）围绕治国理政这条主线，创造性地回答了“什么是治理社会主义社会，怎样治理社会主义社会”的问题，进一步深化了对治国理政规律的认识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宋体"/>
          <w:color w:val="auto"/>
          <w:kern w:val="0"/>
          <w:sz w:val="32"/>
          <w:szCs w:val="32"/>
        </w:rPr>
        <w:t>从我们党治国理政历史的发展</w:t>
      </w:r>
      <w:r>
        <w:rPr>
          <w:rFonts w:hint="eastAsia" w:ascii="仿宋_GB2312" w:hAnsi="仿宋_GB2312" w:eastAsia="仿宋_GB2312" w:cs="宋体"/>
          <w:color w:val="auto"/>
          <w:kern w:val="0"/>
          <w:sz w:val="32"/>
          <w:szCs w:val="32"/>
          <w:lang w:eastAsia="zh-CN"/>
        </w:rPr>
        <w:t>脉络</w:t>
      </w:r>
      <w:r>
        <w:rPr>
          <w:rFonts w:hint="eastAsia" w:ascii="仿宋_GB2312" w:hAnsi="仿宋_GB2312" w:eastAsia="仿宋_GB2312" w:cs="宋体"/>
          <w:color w:val="auto"/>
          <w:kern w:val="0"/>
          <w:sz w:val="32"/>
          <w:szCs w:val="32"/>
        </w:rPr>
        <w:t>看，治理社会主义社会的历史实践已经走过了不平凡的历史进程。在以往的社会主义实践中，主要的历史任务是建立社会主义基本制度，并在这个基础上进行改革，现在已经有了很好的基础。今天就是在新的历史起点上</w:t>
      </w:r>
      <w:r>
        <w:rPr>
          <w:rFonts w:hint="eastAsia" w:ascii="仿宋_GB2312" w:hAnsi="仿宋_GB2312" w:eastAsia="仿宋_GB2312" w:cs="宋体"/>
          <w:color w:val="auto"/>
          <w:kern w:val="0"/>
          <w:sz w:val="32"/>
          <w:szCs w:val="32"/>
          <w:lang w:eastAsia="zh-CN"/>
        </w:rPr>
        <w:t>，</w:t>
      </w:r>
      <w:r>
        <w:rPr>
          <w:rFonts w:hint="eastAsia" w:ascii="仿宋_GB2312" w:hAnsi="仿宋_GB2312" w:eastAsia="仿宋_GB2312" w:cs="宋体"/>
          <w:color w:val="auto"/>
          <w:kern w:val="0"/>
          <w:sz w:val="32"/>
          <w:szCs w:val="32"/>
        </w:rPr>
        <w:t>把以往世界社会主义实践中“没有解决得很好”的问题</w:t>
      </w:r>
      <w:r>
        <w:rPr>
          <w:rFonts w:hint="eastAsia" w:ascii="仿宋_GB2312" w:hAnsi="仿宋_GB2312" w:eastAsia="仿宋_GB2312" w:cs="宋体"/>
          <w:color w:val="auto"/>
          <w:kern w:val="0"/>
          <w:sz w:val="32"/>
          <w:szCs w:val="32"/>
          <w:lang w:eastAsia="zh-CN"/>
        </w:rPr>
        <w:t>，</w:t>
      </w:r>
      <w:r>
        <w:rPr>
          <w:rFonts w:hint="eastAsia" w:ascii="仿宋_GB2312" w:hAnsi="仿宋_GB2312" w:eastAsia="仿宋_GB2312" w:cs="宋体"/>
          <w:color w:val="auto"/>
          <w:kern w:val="0"/>
          <w:sz w:val="32"/>
          <w:szCs w:val="32"/>
        </w:rPr>
        <w:t>通过不断改革创新进一步解决好，把中国特色社会主义制度的优越性充分体现出来</w:t>
      </w:r>
      <w:r>
        <w:rPr>
          <w:rFonts w:hint="eastAsia" w:ascii="仿宋_GB2312" w:hAnsi="仿宋_GB2312" w:eastAsia="仿宋_GB2312" w:cs="宋体"/>
          <w:color w:val="auto"/>
          <w:kern w:val="0"/>
          <w:sz w:val="32"/>
          <w:szCs w:val="32"/>
          <w:lang w:eastAsia="zh-CN"/>
        </w:rPr>
        <w:t>。</w:t>
      </w:r>
      <w:r>
        <w:rPr>
          <w:rFonts w:hint="eastAsia" w:ascii="仿宋_GB2312" w:hAnsi="仿宋_GB2312" w:eastAsia="仿宋_GB2312" w:cs="宋体"/>
          <w:color w:val="auto"/>
          <w:kern w:val="0"/>
          <w:sz w:val="32"/>
          <w:szCs w:val="32"/>
        </w:rPr>
        <w:t>中国特色社会主义制度是特色鲜明、富有效率的，但还不是尽善尽美、成熟定型的。全面建成小康社会之后路该怎么走？如何跳出</w:t>
      </w:r>
      <w:r>
        <w:rPr>
          <w:rFonts w:hint="eastAsia" w:ascii="仿宋_GB2312" w:hAnsi="仿宋_GB2312" w:eastAsia="仿宋_GB2312" w:cs="宋体"/>
          <w:color w:val="auto"/>
          <w:kern w:val="0"/>
          <w:sz w:val="32"/>
          <w:szCs w:val="32"/>
          <w:lang w:eastAsia="zh-CN"/>
        </w:rPr>
        <w:t>“</w:t>
      </w:r>
      <w:r>
        <w:rPr>
          <w:rFonts w:hint="eastAsia" w:ascii="仿宋_GB2312" w:hAnsi="仿宋_GB2312" w:eastAsia="仿宋_GB2312" w:cs="宋体"/>
          <w:color w:val="auto"/>
          <w:kern w:val="0"/>
          <w:sz w:val="32"/>
          <w:szCs w:val="32"/>
        </w:rPr>
        <w:t>历史周期率</w:t>
      </w:r>
      <w:r>
        <w:rPr>
          <w:rFonts w:hint="eastAsia" w:ascii="仿宋_GB2312" w:hAnsi="仿宋_GB2312" w:eastAsia="仿宋_GB2312" w:cs="宋体"/>
          <w:color w:val="auto"/>
          <w:kern w:val="0"/>
          <w:sz w:val="32"/>
          <w:szCs w:val="32"/>
          <w:lang w:eastAsia="zh-CN"/>
        </w:rPr>
        <w:t>”，</w:t>
      </w:r>
      <w:r>
        <w:rPr>
          <w:rFonts w:hint="eastAsia" w:ascii="仿宋_GB2312" w:hAnsi="仿宋_GB2312" w:eastAsia="仿宋_GB2312" w:cs="宋体"/>
          <w:color w:val="auto"/>
          <w:kern w:val="0"/>
          <w:sz w:val="32"/>
          <w:szCs w:val="32"/>
        </w:rPr>
        <w:t>实行长期执政？如何实现党和国家长治久安？这些都是需要我们</w:t>
      </w:r>
      <w:r>
        <w:rPr>
          <w:rFonts w:hint="eastAsia" w:ascii="仿宋_GB2312" w:hAnsi="仿宋_GB2312" w:eastAsia="仿宋_GB2312" w:cs="宋体"/>
          <w:color w:val="auto"/>
          <w:kern w:val="0"/>
          <w:sz w:val="32"/>
          <w:szCs w:val="32"/>
          <w:lang w:eastAsia="zh-CN"/>
        </w:rPr>
        <w:t>党</w:t>
      </w:r>
      <w:r>
        <w:rPr>
          <w:rFonts w:hint="eastAsia" w:ascii="仿宋_GB2312" w:hAnsi="仿宋_GB2312" w:eastAsia="仿宋_GB2312" w:cs="宋体"/>
          <w:color w:val="auto"/>
          <w:kern w:val="0"/>
          <w:sz w:val="32"/>
          <w:szCs w:val="32"/>
        </w:rPr>
        <w:t>深入思考的重大问题</w:t>
      </w:r>
      <w:r>
        <w:rPr>
          <w:rFonts w:hint="eastAsia" w:ascii="仿宋_GB2312" w:hAnsi="仿宋_GB2312" w:eastAsia="仿宋_GB2312" w:cs="宋体"/>
          <w:color w:val="auto"/>
          <w:kern w:val="0"/>
          <w:sz w:val="32"/>
          <w:szCs w:val="32"/>
          <w:lang w:eastAsia="zh-CN"/>
        </w:rPr>
        <w:t>。</w:t>
      </w:r>
      <w:r>
        <w:rPr>
          <w:rFonts w:hint="eastAsia" w:ascii="仿宋_GB2312" w:hAnsi="仿宋_GB2312" w:eastAsia="仿宋_GB2312" w:cs="宋体"/>
          <w:color w:val="auto"/>
          <w:kern w:val="0"/>
          <w:sz w:val="32"/>
          <w:szCs w:val="32"/>
        </w:rPr>
        <w:t>党的</w:t>
      </w:r>
      <w:r>
        <w:rPr>
          <w:rFonts w:hint="eastAsia" w:ascii="仿宋_GB2312" w:hAnsi="仿宋_GB2312" w:eastAsia="仿宋_GB2312" w:cs="宋体"/>
          <w:color w:val="auto"/>
          <w:kern w:val="0"/>
          <w:sz w:val="32"/>
          <w:szCs w:val="32"/>
          <w:lang w:eastAsia="zh-CN"/>
        </w:rPr>
        <w:t>十八</w:t>
      </w:r>
      <w:r>
        <w:rPr>
          <w:rFonts w:hint="eastAsia" w:ascii="仿宋_GB2312" w:hAnsi="仿宋_GB2312" w:eastAsia="仿宋_GB2312" w:cs="宋体"/>
          <w:color w:val="auto"/>
          <w:kern w:val="0"/>
          <w:sz w:val="32"/>
          <w:szCs w:val="32"/>
        </w:rPr>
        <w:t>大以来，我们党根据本国传统、现实国情和长期治理经验，创造性地推进治国理政事业，形成了治国理政新理念、新思想、新战略，创造了不同于历史上其他社会主义国家的治理模式，也不同于西方资本主义的治理模式，形成了对比于西方社会治理的独特优势，也为如何治理社会主义社会提供了成功经验，这是我们党在新的历史时期治国理政的根本特征和重要创新。当今世界出现了“中国之治”与“西方之乱”的鲜明对照，这也从一个方面反映了我们党对治国理政规律认识的进一步深化，反映了运用中国特色社会主义制度治理国家的有效性、优越性。如果说以往我们更多地从理论上根据历史规律来阐释社会主义制度的优越性，那么21世纪</w:t>
      </w:r>
      <w:r>
        <w:rPr>
          <w:rFonts w:hint="eastAsia" w:ascii="仿宋_GB2312" w:hAnsi="仿宋_GB2312" w:eastAsia="仿宋_GB2312" w:cs="宋体"/>
          <w:color w:val="auto"/>
          <w:kern w:val="0"/>
          <w:sz w:val="32"/>
          <w:szCs w:val="32"/>
          <w:lang w:eastAsia="zh-CN"/>
        </w:rPr>
        <w:t>，</w:t>
      </w:r>
      <w:r>
        <w:rPr>
          <w:rFonts w:hint="eastAsia" w:ascii="仿宋_GB2312" w:hAnsi="仿宋_GB2312" w:eastAsia="仿宋_GB2312" w:cs="宋体"/>
          <w:color w:val="auto"/>
          <w:kern w:val="0"/>
          <w:sz w:val="32"/>
          <w:szCs w:val="32"/>
        </w:rPr>
        <w:t>我们则必须运用高于和好于资本主义制度的经济效率与治国理政能力，来真真切切地展现社会主义制度的优越性，这是中国特色社会主义对人类社会发展和制度文明作出的巨大历史贡献。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（三）围绕实现中国民族伟大复兴中国梦这个目标，创造性地回答了“建设一个什么样的社会主义现代化强国，怎样建设社会主义现代化强国”的问题，进一步深化了对社会主义现代化建设规律的认识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宋体"/>
          <w:color w:val="auto"/>
          <w:kern w:val="0"/>
          <w:sz w:val="32"/>
          <w:szCs w:val="32"/>
        </w:rPr>
        <w:t>实现中华民族伟大复兴，就是实现社会主义现代化，建设富强、民主、文明、和谐、美丽的社会主义现代化强国。在探索符合中国历史传统和现实国情的现代化发展道路上，中国共产党人立足本国、面向世界，既坚定不移地走自己的道路，又博采各国各地区发展道路之众长，可以说走出了一条人类历史上前所未有的现代化新路。世界各个国家和地区，不论其历史传统、社会制度、发展水平如何，都不可避免地、或早或晚地走上现代化道路。但现代化之路往哪个方向走、如何走，却有很大不同。在历史上，可以说西方国家在现代化道路先行一步，其成功经验和积极成果是对人类发展的重要贡献。但据此认为西方道路是实现现代化的唯一正确可行之路、普世之路，其他国家别无选择、必须模仿和跟随，是错误的。况且，西方现代化道路有着固有的矛盾弊端、制度局限和历史局限。现在西方国家的种种乱象，如贫富差距悬殊、难民危机、民粹主义泛滥、恐怖主义猖獗，逆全球化和反全球化趋势等，都标志着西方现代化之路走入了死胡同。一些亦步亦趋地追随西方、套用西方现代化模式和西方提供的方案的国家，要么陷入“中等收入陷阱”而长期停滞，要么成为依附于“中心国家”、受其控制和支配而丧失了独立性，要么在“结构性调整计划”的猛药“医治”下陷入破产，要么在“颜色革命”中陷入政治动荡和国家分裂。以民族复兴为目标的中国社会主义现代化道路，既超越了西方的现代化，也超越了历史上和现实中其他社会主义的现代化道路，走出一条包括经济现代化、政治现代化、文化现代化、社会现代化、国家治理现代化等全面的现代化道路，为人类现代化发展做出了巨大贡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（四）围绕全面从严治党这个关键，创造性地回答了“建设一个什么样的马克思主义执政党，怎样建设马克思主义执政党”的问题，进一步深化了对共产党执政规律的认识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宋体"/>
          <w:color w:val="auto"/>
          <w:kern w:val="0"/>
          <w:sz w:val="32"/>
          <w:szCs w:val="32"/>
        </w:rPr>
        <w:t>党的十</w:t>
      </w:r>
      <w:r>
        <w:rPr>
          <w:rFonts w:hint="eastAsia" w:ascii="仿宋_GB2312" w:hAnsi="仿宋_GB2312" w:eastAsia="仿宋_GB2312" w:cs="宋体"/>
          <w:color w:val="auto"/>
          <w:kern w:val="0"/>
          <w:sz w:val="32"/>
          <w:szCs w:val="32"/>
          <w:lang w:eastAsia="zh-CN"/>
        </w:rPr>
        <w:t>八</w:t>
      </w:r>
      <w:r>
        <w:rPr>
          <w:rFonts w:hint="eastAsia" w:ascii="仿宋_GB2312" w:hAnsi="仿宋_GB2312" w:eastAsia="仿宋_GB2312" w:cs="宋体"/>
          <w:color w:val="auto"/>
          <w:kern w:val="0"/>
          <w:sz w:val="32"/>
          <w:szCs w:val="32"/>
        </w:rPr>
        <w:t>大以来，党面临的国内外形势环境发展之快、改革发展稳定任务之重、矛盾风险挑战之多，都是前所未有的；党员队伍结构、思想状况发生深刻变化，党要带领全国各族人民进行具有许多新的历史特点的伟大斗争。以习近平同志为核心的党中央，以全面从严治党为主线，从思想、组织、作风、制度、纪律和反腐倡廉建设等各个方面，创造性回答了“建设一个什么样的马克思主义执政党，怎样建设马克思主义执政党”的问题。</w:t>
      </w:r>
      <w:r>
        <w:rPr>
          <w:rFonts w:hint="eastAsia" w:ascii="仿宋_GB2312" w:hAnsi="仿宋_GB2312" w:eastAsia="仿宋_GB2312" w:cs="宋体"/>
          <w:b/>
          <w:bCs/>
          <w:color w:val="auto"/>
          <w:kern w:val="0"/>
          <w:sz w:val="32"/>
          <w:szCs w:val="32"/>
        </w:rPr>
        <w:t>第一，</w:t>
      </w:r>
      <w:r>
        <w:rPr>
          <w:rFonts w:hint="eastAsia" w:ascii="仿宋_GB2312" w:hAnsi="仿宋_GB2312" w:eastAsia="仿宋_GB2312" w:cs="宋体"/>
          <w:color w:val="auto"/>
          <w:kern w:val="0"/>
          <w:sz w:val="32"/>
          <w:szCs w:val="32"/>
        </w:rPr>
        <w:t>马克思主义执政党必须有坚如磐石的理想信念。共产党人有了坚定的理想信念，就能“牢牢占据推动人类社会进步、实现人类美好理想的道义制高点”；</w:t>
      </w:r>
      <w:r>
        <w:rPr>
          <w:rFonts w:hint="eastAsia" w:ascii="仿宋_GB2312" w:hAnsi="仿宋_GB2312" w:eastAsia="仿宋_GB2312" w:cs="宋体"/>
          <w:b/>
          <w:bCs/>
          <w:color w:val="auto"/>
          <w:kern w:val="0"/>
          <w:sz w:val="32"/>
          <w:szCs w:val="32"/>
        </w:rPr>
        <w:t>第二，</w:t>
      </w:r>
      <w:r>
        <w:rPr>
          <w:rFonts w:hint="eastAsia" w:ascii="仿宋_GB2312" w:hAnsi="仿宋_GB2312" w:eastAsia="仿宋_GB2312" w:cs="宋体"/>
          <w:color w:val="auto"/>
          <w:kern w:val="0"/>
          <w:sz w:val="32"/>
          <w:szCs w:val="32"/>
        </w:rPr>
        <w:t>马克思主义执政党必须成为坚强领导核心。确立习近平同志为党中央的核心、全党的核心，集中贯彻了马克思主义政党关于阶级、政党、领袖、群众之关系的基本原则，为继续推进伟大斗争、伟大工程、伟大事业提供了坚强的领导保证；</w:t>
      </w:r>
      <w:r>
        <w:rPr>
          <w:rFonts w:hint="eastAsia" w:ascii="仿宋_GB2312" w:hAnsi="仿宋_GB2312" w:eastAsia="仿宋_GB2312" w:cs="宋体"/>
          <w:b/>
          <w:bCs/>
          <w:color w:val="auto"/>
          <w:kern w:val="0"/>
          <w:sz w:val="32"/>
          <w:szCs w:val="32"/>
        </w:rPr>
        <w:t>第三，</w:t>
      </w:r>
      <w:r>
        <w:rPr>
          <w:rFonts w:hint="eastAsia" w:ascii="仿宋_GB2312" w:hAnsi="仿宋_GB2312" w:eastAsia="仿宋_GB2312" w:cs="宋体"/>
          <w:color w:val="auto"/>
          <w:kern w:val="0"/>
          <w:sz w:val="32"/>
          <w:szCs w:val="32"/>
        </w:rPr>
        <w:t>马克思主义执政党必须旗帜鲜明地讲政治，将其作为补钙壮骨、强身健体的根本保证，作为培养自我革命勇气、增强自我净化能力、提高排毒杀菌政治免疫力的根本途径；</w:t>
      </w:r>
      <w:r>
        <w:rPr>
          <w:rFonts w:hint="eastAsia" w:ascii="仿宋_GB2312" w:hAnsi="仿宋_GB2312" w:eastAsia="仿宋_GB2312" w:cs="宋体"/>
          <w:b/>
          <w:bCs/>
          <w:color w:val="auto"/>
          <w:kern w:val="0"/>
          <w:sz w:val="32"/>
          <w:szCs w:val="32"/>
        </w:rPr>
        <w:t>第四，</w:t>
      </w:r>
      <w:r>
        <w:rPr>
          <w:rFonts w:hint="eastAsia" w:ascii="仿宋_GB2312" w:hAnsi="仿宋_GB2312" w:eastAsia="仿宋_GB2312" w:cs="宋体"/>
          <w:color w:val="auto"/>
          <w:kern w:val="0"/>
          <w:sz w:val="32"/>
          <w:szCs w:val="32"/>
        </w:rPr>
        <w:t>马克思主义执政党必须严明纪律和加强党内监督，恢复光大这个优良传统和独特优势，重新确立了“党的团结和统一是党的生命”的根本原则；</w:t>
      </w:r>
      <w:r>
        <w:rPr>
          <w:rFonts w:hint="eastAsia" w:ascii="仿宋_GB2312" w:hAnsi="仿宋_GB2312" w:eastAsia="仿宋_GB2312" w:cs="宋体"/>
          <w:b/>
          <w:bCs/>
          <w:color w:val="auto"/>
          <w:kern w:val="0"/>
          <w:sz w:val="32"/>
          <w:szCs w:val="32"/>
        </w:rPr>
        <w:t>第五，</w:t>
      </w:r>
      <w:r>
        <w:rPr>
          <w:rFonts w:hint="eastAsia" w:ascii="仿宋_GB2312" w:hAnsi="仿宋_GB2312" w:eastAsia="仿宋_GB2312" w:cs="宋体"/>
          <w:color w:val="auto"/>
          <w:kern w:val="0"/>
          <w:sz w:val="32"/>
          <w:szCs w:val="32"/>
        </w:rPr>
        <w:t>马克思主义执政党必须持续不懈地加强作风建设和反腐败斗争，找到了一条跳出“历史周期率”的新路。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（五）围绕构建人类命运共同体这个宏伟愿景，创造性地回答了“建设一个什么样的世界、怎样建设这个世界”的问题，从而深化了对人类社会发展规律的认识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中国的问题本就是世界的问题。进入21世纪，中国的发展与人类社会的发展更加紧密地联系在一起，中国发展道路的探索创新也在为人类社会发展提供新智慧、新经验。当今世界处于百年未遇之大变局中，在深刻复杂的大形势和变动不居的大动荡中，很多人把目光投向中国。中国作为负责任的大国，发出了“中国应该对人类社会有更大贡献，更大担当”的时代强音，提出“让和平的薪火世代相传，让发展的动力源源不断，让文明的光芒熠熠生辉”的美好倡议，提出了构建人类命运共同体的宏伟愿景。构建人类命运共同体，是我们党对当今时代“建设一个什么样的世界、如何建设这个世界”的创造性回</w:t>
      </w:r>
      <w:r>
        <w:rPr>
          <w:rFonts w:hint="eastAsia" w:ascii="仿宋_GB2312" w:hAnsi="仿宋_GB2312" w:eastAsia="仿宋_GB2312" w:cs="仿宋_GB2312"/>
          <w:color w:val="auto"/>
          <w:sz w:val="32"/>
          <w:szCs w:val="32"/>
          <w:lang w:eastAsia="zh-CN"/>
        </w:rPr>
        <w:t>答，</w:t>
      </w:r>
      <w:r>
        <w:rPr>
          <w:rFonts w:hint="eastAsia" w:ascii="仿宋_GB2312" w:hAnsi="仿宋_GB2312" w:eastAsia="仿宋_GB2312" w:cs="仿宋_GB2312"/>
          <w:color w:val="auto"/>
          <w:sz w:val="32"/>
          <w:szCs w:val="32"/>
        </w:rPr>
        <w:t>是立足中国，面向世界，把中国发展和世界各国发展有机结合，既坚定不移地走自己的发展道路，又把握历史大势，遵循人类社会发展规律，同时向人类社会提供丰盈鲜活的“中国智慧”、“中国经验”、“中国方案”，以中国道路和发展理念引领塑造人类社会发展的新未来</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其根本目的就是让世界更美好，让人民更幸福，是中国的“各美其美，美人之美，美美与共，天下大同”理念在当今世界的现实体现</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二、努力写好医疗保障高质量发展时代答卷</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hint="eastAsia" w:ascii="仿宋_GB2312" w:hAnsi="仿宋_GB2312" w:eastAsia="仿宋_GB2312" w:cs="仿宋_GB2312"/>
          <w:color w:val="auto"/>
          <w:sz w:val="32"/>
          <w:szCs w:val="32"/>
          <w:lang w:eastAsia="zh-CN"/>
        </w:rPr>
      </w:pPr>
      <w:r>
        <w:rPr>
          <w:rFonts w:ascii="仿宋_GB2312" w:hAnsi="仿宋_GB2312" w:eastAsia="仿宋_GB2312" w:cs="宋体"/>
          <w:color w:val="auto"/>
          <w:spacing w:val="8"/>
          <w:kern w:val="0"/>
          <w:sz w:val="32"/>
          <w:szCs w:val="32"/>
          <w:shd w:val="clear" w:color="auto" w:fill="FFFFFF"/>
        </w:rPr>
        <w:t>习近平总书记</w:t>
      </w:r>
      <w:r>
        <w:rPr>
          <w:rFonts w:hint="eastAsia" w:ascii="仿宋_GB2312" w:hAnsi="仿宋_GB2312" w:eastAsia="仿宋_GB2312" w:cs="宋体"/>
          <w:color w:val="auto"/>
          <w:spacing w:val="8"/>
          <w:kern w:val="0"/>
          <w:sz w:val="32"/>
          <w:szCs w:val="32"/>
          <w:shd w:val="clear" w:color="auto" w:fill="FFFFFF"/>
        </w:rPr>
        <w:t>治国理政思想的</w:t>
      </w:r>
      <w:r>
        <w:rPr>
          <w:rFonts w:ascii="仿宋_GB2312" w:hAnsi="仿宋_GB2312" w:eastAsia="仿宋_GB2312" w:cs="宋体"/>
          <w:color w:val="auto"/>
          <w:spacing w:val="8"/>
          <w:kern w:val="0"/>
          <w:sz w:val="32"/>
          <w:szCs w:val="32"/>
          <w:shd w:val="clear" w:color="auto" w:fill="FFFFFF"/>
        </w:rPr>
        <w:t>相关</w:t>
      </w:r>
      <w:r>
        <w:rPr>
          <w:rFonts w:hint="eastAsia" w:ascii="仿宋_GB2312" w:hAnsi="仿宋_GB2312" w:eastAsia="仿宋_GB2312" w:cs="宋体"/>
          <w:color w:val="auto"/>
          <w:spacing w:val="8"/>
          <w:kern w:val="0"/>
          <w:sz w:val="32"/>
          <w:szCs w:val="32"/>
          <w:shd w:val="clear" w:color="auto" w:fill="FFFFFF"/>
        </w:rPr>
        <w:t>理论</w:t>
      </w:r>
      <w:r>
        <w:rPr>
          <w:rFonts w:hint="eastAsia" w:ascii="仿宋_GB2312" w:hAnsi="仿宋_GB2312" w:eastAsia="仿宋_GB2312" w:cs="宋体"/>
          <w:color w:val="auto"/>
          <w:spacing w:val="8"/>
          <w:kern w:val="0"/>
          <w:sz w:val="32"/>
          <w:szCs w:val="32"/>
          <w:shd w:val="clear" w:color="auto" w:fill="FFFFFF"/>
          <w:lang w:eastAsia="zh-CN"/>
        </w:rPr>
        <w:t>，</w:t>
      </w:r>
      <w:r>
        <w:rPr>
          <w:rFonts w:ascii="仿宋_GB2312" w:hAnsi="仿宋_GB2312" w:eastAsia="仿宋_GB2312" w:cs="宋体"/>
          <w:color w:val="auto"/>
          <w:spacing w:val="8"/>
          <w:kern w:val="0"/>
          <w:sz w:val="32"/>
          <w:szCs w:val="32"/>
          <w:shd w:val="clear" w:color="auto" w:fill="FFFFFF"/>
        </w:rPr>
        <w:t>是我们谋划医疗保障高质量发展的指路明灯，</w:t>
      </w:r>
      <w:r>
        <w:rPr>
          <w:rFonts w:hint="eastAsia" w:ascii="仿宋_GB2312" w:hAnsi="仿宋_GB2312" w:eastAsia="仿宋_GB2312" w:cs="宋体"/>
          <w:color w:val="auto"/>
          <w:spacing w:val="8"/>
          <w:kern w:val="0"/>
          <w:sz w:val="32"/>
          <w:szCs w:val="32"/>
          <w:shd w:val="clear" w:color="auto" w:fill="FFFFFF"/>
          <w:lang w:eastAsia="zh-CN"/>
        </w:rPr>
        <w:t>也</w:t>
      </w:r>
      <w:r>
        <w:rPr>
          <w:rFonts w:ascii="仿宋_GB2312" w:hAnsi="仿宋_GB2312" w:eastAsia="仿宋_GB2312" w:cs="宋体"/>
          <w:color w:val="auto"/>
          <w:spacing w:val="8"/>
          <w:kern w:val="0"/>
          <w:sz w:val="32"/>
          <w:szCs w:val="32"/>
          <w:shd w:val="clear" w:color="auto" w:fill="FFFFFF"/>
        </w:rPr>
        <w:t>是医疗保障工作应对新问题新挑战、取得新发展新成就的根本保障</w:t>
      </w:r>
      <w:r>
        <w:rPr>
          <w:rFonts w:hint="eastAsia" w:ascii="仿宋_GB2312" w:hAnsi="仿宋_GB2312" w:eastAsia="仿宋_GB2312" w:cs="宋体"/>
          <w:color w:val="auto"/>
          <w:spacing w:val="8"/>
          <w:kern w:val="0"/>
          <w:sz w:val="32"/>
          <w:szCs w:val="32"/>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lang w:eastAsia="zh-CN"/>
        </w:rPr>
        <w:t>（一）</w:t>
      </w:r>
      <w:r>
        <w:rPr>
          <w:rFonts w:hint="eastAsia" w:ascii="楷体_GB2312" w:hAnsi="楷体_GB2312" w:eastAsia="楷体_GB2312" w:cs="楷体_GB2312"/>
          <w:color w:val="auto"/>
          <w:sz w:val="32"/>
          <w:szCs w:val="32"/>
        </w:rPr>
        <w:t>准确把握习近平总书记关于医疗保障重要论述精神</w:t>
      </w:r>
    </w:p>
    <w:p>
      <w:pPr>
        <w:keepNext w:val="0"/>
        <w:keepLines w:val="0"/>
        <w:pageBreakBefore w:val="0"/>
        <w:widowControl w:val="0"/>
        <w:kinsoku/>
        <w:wordWrap/>
        <w:overflowPunct/>
        <w:topLinePunct w:val="0"/>
        <w:autoSpaceDE/>
        <w:autoSpaceDN/>
        <w:bidi w:val="0"/>
        <w:adjustRightInd/>
        <w:snapToGrid/>
        <w:spacing w:line="560" w:lineRule="exact"/>
        <w:ind w:firstLine="675"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宋体"/>
          <w:b/>
          <w:bCs/>
          <w:color w:val="auto"/>
          <w:spacing w:val="8"/>
          <w:kern w:val="0"/>
          <w:sz w:val="32"/>
          <w:szCs w:val="32"/>
          <w:shd w:val="clear" w:color="auto" w:fill="FFFFFF"/>
        </w:rPr>
        <w:t>第一，</w:t>
      </w:r>
      <w:r>
        <w:rPr>
          <w:rFonts w:ascii="仿宋_GB2312" w:hAnsi="仿宋_GB2312" w:eastAsia="仿宋_GB2312" w:cs="宋体"/>
          <w:b/>
          <w:bCs/>
          <w:color w:val="auto"/>
          <w:spacing w:val="8"/>
          <w:kern w:val="0"/>
          <w:sz w:val="32"/>
          <w:szCs w:val="32"/>
          <w:shd w:val="clear" w:color="auto" w:fill="FFFFFF"/>
        </w:rPr>
        <w:t>坚持党的领导，充分发挥中国特色社会主义制度优势。</w:t>
      </w:r>
      <w:r>
        <w:rPr>
          <w:rFonts w:ascii="仿宋_GB2312" w:hAnsi="仿宋_GB2312" w:eastAsia="仿宋_GB2312" w:cs="宋体"/>
          <w:color w:val="auto"/>
          <w:spacing w:val="8"/>
          <w:kern w:val="0"/>
          <w:sz w:val="32"/>
          <w:szCs w:val="32"/>
          <w:shd w:val="clear" w:color="auto" w:fill="FFFFFF"/>
        </w:rPr>
        <w:t>习近平总书记多次强调，中国共产党领导是中国特色社会主义最本质的特征，是中国特色社会主义制度的最大优势。我国医疗保障从无到有、从小到大、从大到优，根本在于党的坚强领导。特别是党的十八大以来，医疗保障工作取得历史性成就、发生历史性变革，根本在于以习近平同志为核心的党中央坚强领导，在于习近平总书记的掌舵领航。当前，医保改革已经到了涉险滩、啃硬骨头的关键时刻，我们要始终坚持党的领导，坚决</w:t>
      </w:r>
      <w:r>
        <w:rPr>
          <w:rFonts w:hint="eastAsia" w:ascii="仿宋_GB2312" w:hAnsi="仿宋_GB2312" w:eastAsia="仿宋_GB2312" w:cs="宋体"/>
          <w:color w:val="auto"/>
          <w:spacing w:val="8"/>
          <w:kern w:val="0"/>
          <w:sz w:val="32"/>
          <w:szCs w:val="32"/>
          <w:shd w:val="clear" w:color="auto" w:fill="FFFFFF"/>
          <w:lang w:eastAsia="zh-CN"/>
        </w:rPr>
        <w:t>拥护“两个确立”，</w:t>
      </w:r>
      <w:r>
        <w:rPr>
          <w:rFonts w:ascii="仿宋_GB2312" w:hAnsi="仿宋_GB2312" w:eastAsia="仿宋_GB2312" w:cs="宋体"/>
          <w:color w:val="auto"/>
          <w:spacing w:val="8"/>
          <w:kern w:val="0"/>
          <w:sz w:val="32"/>
          <w:szCs w:val="32"/>
          <w:shd w:val="clear" w:color="auto" w:fill="FFFFFF"/>
        </w:rPr>
        <w:t>做到“两个维护”，充分发挥中国特色社会主义制度优势，形成各级党组织合力攻坚格局，进一步破除复杂的利益藩篱，坚定不移推动医疗保障高质量发展。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第二，坚持人民至上，充分发挥医保在疫情防控中的作用。</w:t>
      </w:r>
      <w:r>
        <w:rPr>
          <w:rFonts w:ascii="仿宋_GB2312" w:hAnsi="仿宋_GB2312" w:eastAsia="仿宋_GB2312" w:cs="宋体"/>
          <w:color w:val="auto"/>
          <w:spacing w:val="8"/>
          <w:kern w:val="0"/>
          <w:sz w:val="32"/>
          <w:szCs w:val="32"/>
          <w:shd w:val="clear" w:color="auto" w:fill="FFFFFF"/>
        </w:rPr>
        <w:t>人民至上是我们党执政为民理念的最好诠释，是以习近平同志为核心的党中央治国理政最鲜明的价值取向，体现了习近平总书记一以贯之的人民情怀。面对世纪疫情大考，总书记深刻指出，我们建立全民医保制度的根本目的，就是要解除全体人民的疾病医疗后顾之忧，这既深刻阐释了医保工作的初心使命，又深刻指出了医保在疫情防控中的角色定位。2022年3月17日，总书记在中央政治局常委会会议上再次动员部署疫情防控工作，重申“要始终坚持人民至上、生命至上”，强调“尽快遏制疫情扩散蔓延势头”，要求“努力用最小代价实现最大防控效果，最大限度减少疫情对经济社会发展的影响”</w:t>
      </w:r>
      <w:r>
        <w:rPr>
          <w:rFonts w:hint="eastAsia" w:ascii="仿宋_GB2312" w:hAnsi="仿宋_GB2312" w:eastAsia="仿宋_GB2312" w:cs="宋体"/>
          <w:color w:val="auto"/>
          <w:spacing w:val="8"/>
          <w:kern w:val="0"/>
          <w:sz w:val="32"/>
          <w:szCs w:val="32"/>
          <w:shd w:val="clear" w:color="auto" w:fill="FFFFFF"/>
          <w:lang w:eastAsia="zh-CN"/>
        </w:rPr>
        <w:t>，要求</w:t>
      </w:r>
      <w:r>
        <w:rPr>
          <w:rFonts w:ascii="仿宋_GB2312" w:hAnsi="仿宋_GB2312" w:eastAsia="仿宋_GB2312" w:cs="宋体"/>
          <w:color w:val="auto"/>
          <w:spacing w:val="8"/>
          <w:kern w:val="0"/>
          <w:sz w:val="32"/>
          <w:szCs w:val="32"/>
          <w:shd w:val="clear" w:color="auto" w:fill="FFFFFF"/>
        </w:rPr>
        <w:t>坚决贯彻落实，坚持“动态清零”总方针，全力以赴确保患者救治不愁、群众接种不愁、各方防控减负。</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第三，坚持共同富裕，让改革发展成果更多更公平惠及全民。</w:t>
      </w:r>
      <w:r>
        <w:rPr>
          <w:rFonts w:ascii="仿宋_GB2312" w:hAnsi="仿宋_GB2312" w:eastAsia="仿宋_GB2312" w:cs="宋体"/>
          <w:color w:val="auto"/>
          <w:spacing w:val="8"/>
          <w:kern w:val="0"/>
          <w:sz w:val="32"/>
          <w:szCs w:val="32"/>
          <w:shd w:val="clear" w:color="auto" w:fill="FFFFFF"/>
        </w:rPr>
        <w:t>习近平总书记强调，共同富裕是社会主义的本质要求，是人民群众的共同期盼，是社会主义现代化的重要目标。推动医疗保障高质量发展是实现共同富裕的重要方面。要始终坚持尽力而为、量力而行，既紧抓提质增效，最大程度发挥有限医保基金保障效能；又旗帜鲜明反对“福利主义”，充分吸取一些国家盲目进行“福利赶超”、实施“免费医疗”导致经济停滞甚至衰退的深刻教训。要从塑造发展新优势的战略高度出发，坚持国家顶层设计，持续推动医保全国一盘棋，逐步消除地域差异。</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第四，坚持改革创新，在解决问题中推动医保事业不断前进。</w:t>
      </w:r>
      <w:r>
        <w:rPr>
          <w:rFonts w:hint="eastAsia" w:ascii="仿宋_GB2312" w:hAnsi="仿宋_GB2312" w:eastAsia="仿宋_GB2312" w:cs="仿宋_GB2312"/>
          <w:color w:val="auto"/>
          <w:sz w:val="32"/>
          <w:szCs w:val="32"/>
        </w:rPr>
        <w:t>习近平总书记强调唯改革创新者胜，要求将改革着力点放在加强系统集成、协同高效上。医保局是改革的产物，改革是医保旗帜上最鲜亮的底色，也是克服困难、应对挑战最有效的手段。必须深刻认识社会主要矛盾的新变化，深刻把握新发展阶段、贯彻新发展理念、构建新发展格局的新要求，在党和国家战略布局中思考和谋划医疗保障事业发展。更加注重改革的系统性、整体性、协同性，准确把握医保各方面之间、医保和医药卫生等其他相关领域之间改革的联系，统筹谋划形成合力，协同推进“三医联动”，持续推动医药服务供给侧改革走向深入。坚持改革和管理双轮驱动、深度融合、高效联动，既持续加大改革力度开山拓路，又持续优化管理巩固拓展改革成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第五，坚持制度引领，持续加强多层次医疗保障体系建设。</w:t>
      </w:r>
      <w:r>
        <w:rPr>
          <w:rFonts w:ascii="仿宋_GB2312" w:hAnsi="仿宋_GB2312" w:eastAsia="仿宋_GB2312" w:cs="宋体"/>
          <w:color w:val="auto"/>
          <w:spacing w:val="8"/>
          <w:kern w:val="0"/>
          <w:sz w:val="32"/>
          <w:szCs w:val="32"/>
          <w:shd w:val="clear" w:color="auto" w:fill="FFFFFF"/>
        </w:rPr>
        <w:t>习近平总书记要求，围绕全覆盖、保基本、多层次、可持续等目标加强社会保障体系建设。</w:t>
      </w:r>
      <w:r>
        <w:rPr>
          <w:rFonts w:ascii="仿宋_GB2312" w:hAnsi="仿宋_GB2312" w:eastAsia="仿宋_GB2312" w:cs="宋体"/>
          <w:b/>
          <w:bCs/>
          <w:color w:val="auto"/>
          <w:spacing w:val="8"/>
          <w:kern w:val="0"/>
          <w:sz w:val="32"/>
          <w:szCs w:val="32"/>
          <w:shd w:val="clear" w:color="auto" w:fill="FFFFFF"/>
        </w:rPr>
        <w:t>“全覆盖”</w:t>
      </w:r>
      <w:r>
        <w:rPr>
          <w:rFonts w:ascii="仿宋_GB2312" w:hAnsi="仿宋_GB2312" w:eastAsia="仿宋_GB2312" w:cs="宋体"/>
          <w:color w:val="auto"/>
          <w:spacing w:val="8"/>
          <w:kern w:val="0"/>
          <w:sz w:val="32"/>
          <w:szCs w:val="32"/>
          <w:shd w:val="clear" w:color="auto" w:fill="FFFFFF"/>
        </w:rPr>
        <w:t>强调参保“一个都不能落”；</w:t>
      </w:r>
      <w:r>
        <w:rPr>
          <w:rFonts w:ascii="仿宋_GB2312" w:hAnsi="仿宋_GB2312" w:eastAsia="仿宋_GB2312" w:cs="宋体"/>
          <w:b/>
          <w:bCs/>
          <w:color w:val="auto"/>
          <w:spacing w:val="8"/>
          <w:kern w:val="0"/>
          <w:sz w:val="32"/>
          <w:szCs w:val="32"/>
          <w:shd w:val="clear" w:color="auto" w:fill="FFFFFF"/>
        </w:rPr>
        <w:t>“保基本”</w:t>
      </w:r>
      <w:r>
        <w:rPr>
          <w:rFonts w:ascii="仿宋_GB2312" w:hAnsi="仿宋_GB2312" w:eastAsia="仿宋_GB2312" w:cs="宋体"/>
          <w:color w:val="auto"/>
          <w:spacing w:val="8"/>
          <w:kern w:val="0"/>
          <w:sz w:val="32"/>
          <w:szCs w:val="32"/>
          <w:shd w:val="clear" w:color="auto" w:fill="FFFFFF"/>
        </w:rPr>
        <w:t>要求重点聚焦基础性、普惠性、兜底性医保制度建设；</w:t>
      </w:r>
      <w:r>
        <w:rPr>
          <w:rFonts w:ascii="仿宋_GB2312" w:hAnsi="仿宋_GB2312" w:eastAsia="仿宋_GB2312" w:cs="宋体"/>
          <w:b/>
          <w:bCs/>
          <w:color w:val="auto"/>
          <w:spacing w:val="8"/>
          <w:kern w:val="0"/>
          <w:sz w:val="32"/>
          <w:szCs w:val="32"/>
          <w:shd w:val="clear" w:color="auto" w:fill="FFFFFF"/>
        </w:rPr>
        <w:t>“多层次”</w:t>
      </w:r>
      <w:r>
        <w:rPr>
          <w:rFonts w:ascii="仿宋_GB2312" w:hAnsi="仿宋_GB2312" w:eastAsia="仿宋_GB2312" w:cs="宋体"/>
          <w:color w:val="auto"/>
          <w:spacing w:val="8"/>
          <w:kern w:val="0"/>
          <w:sz w:val="32"/>
          <w:szCs w:val="32"/>
          <w:shd w:val="clear" w:color="auto" w:fill="FFFFFF"/>
        </w:rPr>
        <w:t>强调支持商业健康险、慈善救助等补充保障措施发展；</w:t>
      </w:r>
      <w:r>
        <w:rPr>
          <w:rFonts w:ascii="仿宋_GB2312" w:hAnsi="仿宋_GB2312" w:eastAsia="仿宋_GB2312" w:cs="宋体"/>
          <w:b/>
          <w:bCs/>
          <w:color w:val="auto"/>
          <w:spacing w:val="8"/>
          <w:kern w:val="0"/>
          <w:sz w:val="32"/>
          <w:szCs w:val="32"/>
          <w:shd w:val="clear" w:color="auto" w:fill="FFFFFF"/>
        </w:rPr>
        <w:t>“可持续”</w:t>
      </w:r>
      <w:r>
        <w:rPr>
          <w:rFonts w:ascii="仿宋_GB2312" w:hAnsi="仿宋_GB2312" w:eastAsia="仿宋_GB2312" w:cs="宋体"/>
          <w:color w:val="auto"/>
          <w:spacing w:val="8"/>
          <w:kern w:val="0"/>
          <w:sz w:val="32"/>
          <w:szCs w:val="32"/>
          <w:shd w:val="clear" w:color="auto" w:fill="FFFFFF"/>
        </w:rPr>
        <w:t>强调统筹需要和可能，确保基金收支平衡、制度长期可持续。要推动有效市场和有为政府更好结合，实现政府、市场、慈善相互补位、相互配合，确保政府不缺位、不越位，坚决防范政府保障一家独大、大包大揽，发挥好商业健康险保障作用及其他保障措施综合帮扶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lang w:eastAsia="zh-CN"/>
        </w:rPr>
        <w:t>（二）</w:t>
      </w:r>
      <w:r>
        <w:rPr>
          <w:rFonts w:hint="eastAsia" w:ascii="楷体_GB2312" w:hAnsi="楷体_GB2312" w:eastAsia="楷体_GB2312" w:cs="楷体_GB2312"/>
          <w:color w:val="auto"/>
          <w:sz w:val="32"/>
          <w:szCs w:val="32"/>
        </w:rPr>
        <w:t>始终保持中国特色医疗保障体系的制度自信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我们党高度重视医疗保障工作。新中国成立后，先后建立劳保医疗、公费医疗和农村合作医疗制度，提供了适应当时历史条件的医疗保障。改革开放以来，适应社会主义市场经济体制要求，从改革职工医保起步，建设全民医保制度。我们用较短时间建立起世界最大的全民基本医疗保障网，对破解群众看病难看病贵问题、支持医药卫生事业发展、维护社会稳定和推动共同富裕发挥了重要作用。党的十</w:t>
      </w:r>
      <w:r>
        <w:rPr>
          <w:rFonts w:hint="eastAsia" w:ascii="仿宋_GB2312" w:hAnsi="仿宋_GB2312" w:eastAsia="仿宋_GB2312" w:cs="仿宋_GB2312"/>
          <w:color w:val="auto"/>
          <w:sz w:val="32"/>
          <w:szCs w:val="32"/>
          <w:lang w:eastAsia="zh-CN"/>
        </w:rPr>
        <w:t>九</w:t>
      </w:r>
      <w:r>
        <w:rPr>
          <w:rFonts w:hint="eastAsia" w:ascii="仿宋_GB2312" w:hAnsi="仿宋_GB2312" w:eastAsia="仿宋_GB2312" w:cs="仿宋_GB2312"/>
          <w:color w:val="auto"/>
          <w:sz w:val="32"/>
          <w:szCs w:val="32"/>
        </w:rPr>
        <w:t>大以来，医疗保障事业发展进入新阶段</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党中央正确决策组建国家医保局，擘画改革蓝图，推动医保事业加速发展。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rPr>
        <w:t>第一，群众医保获益达到新高度。</w:t>
      </w:r>
      <w:r>
        <w:rPr>
          <w:rFonts w:hint="eastAsia" w:ascii="仿宋_GB2312" w:hAnsi="仿宋_GB2312" w:eastAsia="仿宋_GB2312" w:cs="仿宋_GB2312"/>
          <w:color w:val="auto"/>
          <w:sz w:val="32"/>
          <w:szCs w:val="32"/>
        </w:rPr>
        <w:t>历经百年奋斗，我们党带领全国人民成功建起了具有鲜明中国特色的医疗保障制度，“基本医疗保障”这一先辈口中“不敢想的奢望”已经变成人人享有的基本福利，以相当于2%左右国内生产总值的医保投入为全国人民提供了有效保障，全面建立城乡统一的居民医保和大病保险制度，初步形成以基本医保为主体、医疗救助为托底、补充医疗保险和商业健康险等共同发展的多层次医疗保障体系</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人均预期寿命从新中国成立前的不足40岁增长到</w:t>
      </w:r>
      <w:r>
        <w:rPr>
          <w:rFonts w:hint="eastAsia" w:ascii="仿宋_GB2312" w:hAnsi="仿宋_GB2312" w:eastAsia="仿宋_GB2312" w:cs="仿宋_GB2312"/>
          <w:color w:val="auto"/>
          <w:sz w:val="32"/>
          <w:szCs w:val="32"/>
          <w:lang w:eastAsia="zh-CN"/>
        </w:rPr>
        <w:t>近</w:t>
      </w:r>
      <w:r>
        <w:rPr>
          <w:rFonts w:hint="eastAsia" w:ascii="仿宋_GB2312" w:hAnsi="仿宋_GB2312" w:eastAsia="仿宋_GB2312" w:cs="仿宋_GB2312"/>
          <w:color w:val="auto"/>
          <w:sz w:val="32"/>
          <w:szCs w:val="32"/>
          <w:lang w:val="en-US" w:eastAsia="zh-CN"/>
        </w:rPr>
        <w:t>80</w:t>
      </w:r>
      <w:r>
        <w:rPr>
          <w:rFonts w:hint="eastAsia" w:ascii="仿宋_GB2312" w:hAnsi="仿宋_GB2312" w:eastAsia="仿宋_GB2312" w:cs="仿宋_GB2312"/>
          <w:color w:val="auto"/>
          <w:sz w:val="32"/>
          <w:szCs w:val="32"/>
        </w:rPr>
        <w:t>岁</w:t>
      </w:r>
      <w:r>
        <w:rPr>
          <w:rFonts w:hint="eastAsia" w:ascii="仿宋_GB2312" w:hAnsi="仿宋_GB2312" w:eastAsia="仿宋_GB2312" w:cs="仿宋_GB2312"/>
          <w:color w:val="auto"/>
          <w:sz w:val="32"/>
          <w:szCs w:val="32"/>
          <w:lang w:eastAsia="zh-CN"/>
        </w:rPr>
        <w:t>。</w:t>
      </w:r>
      <w:r>
        <w:rPr>
          <w:rFonts w:ascii="仿宋_GB2312" w:hAnsi="仿宋_GB2312" w:eastAsia="仿宋_GB2312" w:cs="宋体"/>
          <w:color w:val="auto"/>
          <w:spacing w:val="8"/>
          <w:kern w:val="0"/>
          <w:sz w:val="32"/>
          <w:szCs w:val="32"/>
          <w:shd w:val="clear" w:color="auto" w:fill="FFFFFF"/>
        </w:rPr>
        <w:t>服务更便捷，经办服务不断下沉，办理流程不断优化，初步实现经办服务“网上办”、“掌上办”、“就近办”、“集成办”。</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b/>
          <w:bCs/>
          <w:color w:val="auto"/>
          <w:sz w:val="32"/>
          <w:szCs w:val="32"/>
        </w:rPr>
        <w:t>第二，应对突发公共卫生事件取得新突破。</w:t>
      </w:r>
      <w:r>
        <w:rPr>
          <w:rFonts w:ascii="仿宋_GB2312" w:hAnsi="仿宋_GB2312" w:eastAsia="仿宋_GB2312" w:cs="宋体"/>
          <w:color w:val="auto"/>
          <w:spacing w:val="8"/>
          <w:kern w:val="0"/>
          <w:sz w:val="32"/>
          <w:szCs w:val="32"/>
          <w:shd w:val="clear" w:color="auto" w:fill="FFFFFF"/>
        </w:rPr>
        <w:t>保患者救治、助力构筑防疫高地，第一时间实施“两个确保”，预拨专项资金超200亿元，确保患者不因费用问题影响就医、确保收治医院不因支付政策影响救治，充分体现了社会主义制度的优越性。保疫苗接种、助力加速形成免疫屏障，迅速筹集并预拨疫苗采购资金，及时结算接种费用，让企业放心生产、采购机构放心采购、接种机构放心接种，已累计接种新冠病毒疫苗超33亿剂次。持续降低常态防疫成本，四次降低疫苗价格，灭活疫苗较紧急使用阶段降价超九成。全国四轮降低核酸检测价格，免收核酸、抗原检测挂号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第三，推动医药服务供给侧改革取得新进展。</w:t>
      </w:r>
      <w:r>
        <w:rPr>
          <w:rFonts w:ascii="仿宋_GB2312" w:hAnsi="仿宋_GB2312" w:eastAsia="仿宋_GB2312" w:cs="宋体"/>
          <w:color w:val="auto"/>
          <w:spacing w:val="8"/>
          <w:kern w:val="0"/>
          <w:sz w:val="32"/>
          <w:szCs w:val="32"/>
          <w:shd w:val="clear" w:color="auto" w:fill="FFFFFF"/>
        </w:rPr>
        <w:t>群众医药负担历史性下降，国家集中带量采购6批234种药品、平均降价53%，集采2批耗材、平均降价超80%，整合全国需求谈判议价将250种新药纳入目录、平均降价超50%，累计降低药耗负担超5000亿元。优质药耗可及性显著提升，每年动态调整医保药品目录，4年累计调入507种、调出391种，目录内药品数增至2860种，拓展定点零售药店作为供药新渠道，救命新药获取更快、更价宜、更便利。集采品种中使用高质量药品的患者比例从50%提高到90%以上。医药行业生态系统性重塑，持续挤压药耗虚高价格水分、实施结余留用的同时，101个城市开展住院费用医保支付方式改革国家试点，叠加医疗服务价格改革，有效净化行业生态，初步理顺补偿机制，医药产业研发投入大幅增长。</w:t>
      </w:r>
    </w:p>
    <w:p>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宋体"/>
          <w:color w:val="auto"/>
          <w:kern w:val="0"/>
          <w:sz w:val="32"/>
          <w:szCs w:val="32"/>
        </w:rPr>
      </w:pPr>
      <w:r>
        <w:rPr>
          <w:rFonts w:hint="eastAsia" w:ascii="仿宋_GB2312" w:hAnsi="仿宋_GB2312" w:eastAsia="仿宋_GB2312" w:cs="仿宋_GB2312"/>
          <w:b/>
          <w:bCs/>
          <w:color w:val="auto"/>
          <w:sz w:val="32"/>
          <w:szCs w:val="32"/>
        </w:rPr>
        <w:t>第四，打击欺诈骗保力度再上新台阶。</w:t>
      </w:r>
      <w:r>
        <w:rPr>
          <w:rFonts w:ascii="仿宋_GB2312" w:hAnsi="仿宋_GB2312" w:eastAsia="仿宋_GB2312" w:cs="宋体"/>
          <w:color w:val="auto"/>
          <w:spacing w:val="8"/>
          <w:kern w:val="0"/>
          <w:sz w:val="32"/>
          <w:szCs w:val="32"/>
          <w:shd w:val="clear" w:color="auto" w:fill="FFFFFF"/>
        </w:rPr>
        <w:t>打击力度前所未有，2018年以来，连续3年全覆盖检查、连续4年专项整治，累计检查定点医药机构超240万家次，处理近115万家次，曝光案情12万件，追回基金583亿元。行纪衔接、行刑衔接等“一案多查、联合惩处”机制不断优化。法治建设取得突破，出台实施首部医保行政法规《医疗保障基金使用监督管理条例》，行政执法标准化、规范化、法治化水平不断提高，全国已建立155个专职监管机构。长效机制初具雏形，建立举报奖励制度，仅循国家医保局收到的线索就查处7.6亿元；集中宣传月活动累计举办各类警示教育、培训会1.9万余场，涵养共同守护医保基金安全的社会氛围。医药价格和招采信用评价制度实现企业守信承诺全覆盖，有力震慑医药企业行贿行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第五，助力稳定经济运行续写新篇章。</w:t>
      </w:r>
      <w:r>
        <w:rPr>
          <w:rFonts w:ascii="仿宋_GB2312" w:hAnsi="仿宋_GB2312" w:eastAsia="仿宋_GB2312" w:cs="宋体"/>
          <w:color w:val="auto"/>
          <w:spacing w:val="8"/>
          <w:kern w:val="0"/>
          <w:sz w:val="32"/>
          <w:szCs w:val="32"/>
          <w:shd w:val="clear" w:color="auto" w:fill="FFFFFF"/>
        </w:rPr>
        <w:t>支持稳消费，医疗保障有效减少了群众医疗预防性储蓄，助力释放群众消费。群众保险意识持续增强，2021年商业健康险销售收入是2013年的近8倍。支持人口流动，住院、普通门诊费用跨省直接结算实现统筹地区全覆盖，累计接入14.6万家定点医药机构，惠及就医群众2416.9万人次，所有省份均已启动五种门诊慢特病费用跨省直接结算试点。新业态从业人员等流动人口参保转移接续更便捷。支持健康产业发展，加大对符合条件的“互联网+”医疗服务费用支付，加快“互联网+”医保发展，政府办、社会办医疗机构医保管理一视同仁。长期护理保险累计吸引照护等相关行业投资超400亿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lang w:eastAsia="zh-CN"/>
        </w:rPr>
        <w:t>（三）坚持</w:t>
      </w:r>
      <w:r>
        <w:rPr>
          <w:rFonts w:hint="eastAsia" w:ascii="楷体_GB2312" w:hAnsi="楷体_GB2312" w:eastAsia="楷体_GB2312" w:cs="楷体_GB2312"/>
          <w:color w:val="auto"/>
          <w:sz w:val="32"/>
          <w:szCs w:val="32"/>
        </w:rPr>
        <w:t>新时代医疗保障高质量可持续发展</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ascii="仿宋_GB2312" w:hAnsi="仿宋_GB2312" w:eastAsia="仿宋_GB2312" w:cs="宋体"/>
          <w:color w:val="auto"/>
          <w:spacing w:val="8"/>
          <w:kern w:val="0"/>
          <w:sz w:val="32"/>
          <w:szCs w:val="32"/>
          <w:shd w:val="clear" w:color="auto" w:fill="FFFFFF"/>
        </w:rPr>
      </w:pPr>
      <w:r>
        <w:rPr>
          <w:rFonts w:ascii="仿宋_GB2312" w:hAnsi="仿宋_GB2312" w:eastAsia="仿宋_GB2312" w:cs="宋体"/>
          <w:color w:val="auto"/>
          <w:spacing w:val="8"/>
          <w:kern w:val="0"/>
          <w:sz w:val="32"/>
          <w:szCs w:val="32"/>
          <w:shd w:val="clear" w:color="auto" w:fill="FFFFFF"/>
        </w:rPr>
        <w:t>推动医疗保障高质量可持续发展，必须坚持以习近平新时代中国特色社会主义思想为指导，坚决贯彻落实习近平总书记重要论述精神和党中央、国务院决策部署，在实现第二个百年奋斗目标的伟大征程中同步答优答好医保高质量发展必答题、疫情防控加试题，奋力解除全体人民的疾病医疗后顾之忧。</w:t>
      </w:r>
    </w:p>
    <w:p>
      <w:pPr>
        <w:keepNext w:val="0"/>
        <w:keepLines w:val="0"/>
        <w:pageBreakBefore w:val="0"/>
        <w:widowControl/>
        <w:kinsoku/>
        <w:wordWrap/>
        <w:overflowPunct/>
        <w:topLinePunct w:val="0"/>
        <w:autoSpaceDE/>
        <w:autoSpaceDN/>
        <w:bidi w:val="0"/>
        <w:adjustRightInd/>
        <w:snapToGrid/>
        <w:spacing w:line="560" w:lineRule="exact"/>
        <w:ind w:firstLine="675" w:firstLineChars="200"/>
        <w:textAlignment w:val="auto"/>
        <w:rPr>
          <w:rFonts w:ascii="仿宋_GB2312" w:hAnsi="仿宋_GB2312" w:eastAsia="仿宋_GB2312" w:cs="宋体"/>
          <w:color w:val="auto"/>
          <w:kern w:val="0"/>
          <w:sz w:val="32"/>
          <w:szCs w:val="32"/>
        </w:rPr>
      </w:pPr>
      <w:r>
        <w:rPr>
          <w:rFonts w:hint="eastAsia" w:ascii="仿宋_GB2312" w:hAnsi="仿宋_GB2312" w:eastAsia="仿宋_GB2312" w:cs="宋体"/>
          <w:b/>
          <w:bCs/>
          <w:color w:val="auto"/>
          <w:spacing w:val="8"/>
          <w:kern w:val="0"/>
          <w:sz w:val="32"/>
          <w:szCs w:val="32"/>
          <w:shd w:val="clear" w:color="auto" w:fill="FFFFFF"/>
        </w:rPr>
        <w:t>第一，</w:t>
      </w:r>
      <w:r>
        <w:rPr>
          <w:rFonts w:ascii="仿宋_GB2312" w:hAnsi="仿宋_GB2312" w:eastAsia="仿宋_GB2312" w:cs="宋体"/>
          <w:b/>
          <w:bCs/>
          <w:color w:val="auto"/>
          <w:spacing w:val="8"/>
          <w:kern w:val="0"/>
          <w:sz w:val="32"/>
          <w:szCs w:val="32"/>
          <w:shd w:val="clear" w:color="auto" w:fill="FFFFFF"/>
        </w:rPr>
        <w:t>全力支持常态疫情防控，最大程度保障群众生命健康。</w:t>
      </w:r>
      <w:r>
        <w:rPr>
          <w:rFonts w:ascii="仿宋_GB2312" w:hAnsi="仿宋_GB2312" w:eastAsia="仿宋_GB2312" w:cs="宋体"/>
          <w:color w:val="auto"/>
          <w:spacing w:val="8"/>
          <w:kern w:val="0"/>
          <w:sz w:val="32"/>
          <w:szCs w:val="32"/>
          <w:shd w:val="clear" w:color="auto" w:fill="FFFFFF"/>
        </w:rPr>
        <w:t>继续落实“两个确保”，及时将治疗新药临时纳入支付范围，帮助实现疫情防控“四早”。继续降低疫苗、核酸检测、抗原检测、治疗药品价格，减轻防疫负担。接续做好疫苗和接种费用保障工作，配合相关部门精准提高易感人群接种水平。持续拓宽线上服务渠道，做好医保服务场所疫情防控，确保疫情期间待遇不打折、支付不中断、服务不聚集。</w:t>
      </w:r>
    </w:p>
    <w:p>
      <w:pPr>
        <w:keepNext w:val="0"/>
        <w:keepLines w:val="0"/>
        <w:pageBreakBefore w:val="0"/>
        <w:widowControl/>
        <w:kinsoku/>
        <w:wordWrap/>
        <w:overflowPunct/>
        <w:topLinePunct w:val="0"/>
        <w:autoSpaceDE/>
        <w:autoSpaceDN/>
        <w:bidi w:val="0"/>
        <w:adjustRightInd/>
        <w:snapToGrid/>
        <w:spacing w:line="560" w:lineRule="exact"/>
        <w:ind w:firstLine="675" w:firstLineChars="200"/>
        <w:textAlignment w:val="auto"/>
        <w:rPr>
          <w:rFonts w:ascii="仿宋_GB2312" w:hAnsi="仿宋_GB2312" w:eastAsia="仿宋_GB2312" w:cs="宋体"/>
          <w:color w:val="auto"/>
          <w:kern w:val="0"/>
          <w:sz w:val="32"/>
          <w:szCs w:val="32"/>
        </w:rPr>
      </w:pPr>
      <w:r>
        <w:rPr>
          <w:rFonts w:hint="eastAsia" w:ascii="仿宋_GB2312" w:hAnsi="仿宋_GB2312" w:eastAsia="仿宋_GB2312" w:cs="宋体"/>
          <w:b/>
          <w:bCs/>
          <w:color w:val="auto"/>
          <w:spacing w:val="8"/>
          <w:kern w:val="0"/>
          <w:sz w:val="32"/>
          <w:szCs w:val="32"/>
          <w:shd w:val="clear" w:color="auto" w:fill="FFFFFF"/>
        </w:rPr>
        <w:t>第二，</w:t>
      </w:r>
      <w:r>
        <w:rPr>
          <w:rFonts w:ascii="仿宋_GB2312" w:hAnsi="仿宋_GB2312" w:eastAsia="仿宋_GB2312" w:cs="宋体"/>
          <w:b/>
          <w:bCs/>
          <w:color w:val="auto"/>
          <w:spacing w:val="8"/>
          <w:kern w:val="0"/>
          <w:sz w:val="32"/>
          <w:szCs w:val="32"/>
          <w:shd w:val="clear" w:color="auto" w:fill="FFFFFF"/>
        </w:rPr>
        <w:t>持续扎牢多层次医疗保障网，在发展中持续提高群众保障质量。</w:t>
      </w:r>
      <w:r>
        <w:rPr>
          <w:rFonts w:ascii="仿宋_GB2312" w:hAnsi="仿宋_GB2312" w:eastAsia="仿宋_GB2312" w:cs="宋体"/>
          <w:color w:val="auto"/>
          <w:spacing w:val="8"/>
          <w:kern w:val="0"/>
          <w:sz w:val="32"/>
          <w:szCs w:val="32"/>
          <w:shd w:val="clear" w:color="auto" w:fill="FFFFFF"/>
        </w:rPr>
        <w:t>健全重特大疾病医疗保险和救助制度，支持慈善救助、商业健康险、职工互助等发挥综合帮扶作用，强化高额医疗费用减负能力。持续巩固拓展医保脱贫攻坚成果，坚决防范因病规模性返贫。精准补齐门诊保障短板，持续夯筑早诊早治、慢病管理政策平台。稳步扩大长期护理保险制度试点范围。</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rPr>
        <w:t>第三，逐步破除医保区域发展不平衡，推动人民群众共建共享。</w:t>
      </w:r>
      <w:r>
        <w:rPr>
          <w:rFonts w:hint="eastAsia" w:ascii="仿宋_GB2312" w:hAnsi="仿宋_GB2312" w:eastAsia="仿宋_GB2312" w:cs="仿宋_GB2312"/>
          <w:color w:val="auto"/>
          <w:sz w:val="32"/>
          <w:szCs w:val="32"/>
        </w:rPr>
        <w:t>全面落实全民参保计划，守牢应保尽保底线。全面实施全国统一的医保信息平台，全面落实医保待遇清单制度。持续扩大医保基金互助共济范围，全面实现市地级统筹地区内制度政策统一、基金统收统支、管理服务一体</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第四，重拳打击欺诈骗保不手软，坚决守好人民群众救命钱。</w:t>
      </w:r>
      <w:r>
        <w:rPr>
          <w:rFonts w:hint="eastAsia" w:ascii="仿宋_GB2312" w:hAnsi="仿宋_GB2312" w:eastAsia="仿宋_GB2312" w:cs="仿宋_GB2312"/>
          <w:color w:val="auto"/>
          <w:sz w:val="32"/>
          <w:szCs w:val="32"/>
        </w:rPr>
        <w:t>继续开展专项整治，持续提高综合监管能力，强化飞行检查。抓好《医疗保障基金使用监督管理条例》落实，持续提升基金监管法治化、专业化、信息化水平。建立健全基金监管执法体系，扩大智能监控应用，规范用好举报奖励机制，持续优化医药价格和招采信用评价机制，加强基金监管信用评价体系顶层设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第五，不断推动医药服务供给侧改革，让群众享受更多质优价宜的医药服务。</w:t>
      </w:r>
      <w:r>
        <w:rPr>
          <w:rFonts w:hint="eastAsia" w:ascii="仿宋_GB2312" w:hAnsi="仿宋_GB2312" w:eastAsia="仿宋_GB2312" w:cs="仿宋_GB2312"/>
          <w:color w:val="auto"/>
          <w:sz w:val="32"/>
          <w:szCs w:val="32"/>
        </w:rPr>
        <w:t>常态化制度化开展集采，持续优化药品动态准入机制，全面落实谈判药“双通道”管理机制，让群众以更低价格、更快速度享受到更多救命新药。全面深化医保支付方式改革，建立医疗服务价格科学确定和动态调整机制，推动形成医保与医疗机构良性互动、共同发展新格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三、全力</w:t>
      </w:r>
      <w:r>
        <w:rPr>
          <w:rFonts w:hint="eastAsia" w:ascii="黑体" w:hAnsi="黑体" w:eastAsia="黑体" w:cs="黑体"/>
          <w:color w:val="auto"/>
          <w:sz w:val="32"/>
          <w:szCs w:val="32"/>
          <w:lang w:eastAsia="zh-CN"/>
        </w:rPr>
        <w:t>推动</w:t>
      </w:r>
      <w:r>
        <w:rPr>
          <w:rFonts w:hint="eastAsia" w:ascii="黑体" w:hAnsi="黑体" w:eastAsia="黑体" w:cs="黑体"/>
          <w:color w:val="auto"/>
          <w:sz w:val="32"/>
          <w:szCs w:val="32"/>
        </w:rPr>
        <w:t>海淀医保高质量</w:t>
      </w:r>
      <w:r>
        <w:rPr>
          <w:rFonts w:hint="eastAsia" w:ascii="黑体" w:hAnsi="黑体" w:eastAsia="黑体" w:cs="黑体"/>
          <w:color w:val="auto"/>
          <w:sz w:val="32"/>
          <w:szCs w:val="32"/>
          <w:lang w:eastAsia="zh-CN"/>
        </w:rPr>
        <w:t>创新</w:t>
      </w:r>
      <w:r>
        <w:rPr>
          <w:rFonts w:hint="eastAsia" w:ascii="黑体" w:hAnsi="黑体" w:eastAsia="黑体" w:cs="黑体"/>
          <w:color w:val="auto"/>
          <w:sz w:val="32"/>
          <w:szCs w:val="32"/>
        </w:rPr>
        <w:t>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新的发展阶段，</w:t>
      </w:r>
      <w:r>
        <w:rPr>
          <w:rFonts w:hint="eastAsia" w:ascii="仿宋_GB2312" w:hAnsi="仿宋_GB2312" w:eastAsia="仿宋_GB2312" w:cs="仿宋_GB2312"/>
          <w:color w:val="auto"/>
          <w:sz w:val="32"/>
          <w:szCs w:val="32"/>
        </w:rPr>
        <w:t>我</w:t>
      </w:r>
      <w:r>
        <w:rPr>
          <w:rFonts w:hint="eastAsia" w:ascii="仿宋_GB2312" w:hAnsi="仿宋_GB2312" w:eastAsia="仿宋_GB2312" w:cs="仿宋_GB2312"/>
          <w:color w:val="auto"/>
          <w:sz w:val="32"/>
          <w:szCs w:val="32"/>
          <w:lang w:eastAsia="zh-CN"/>
        </w:rPr>
        <w:t>们要</w:t>
      </w:r>
      <w:r>
        <w:rPr>
          <w:rFonts w:hint="eastAsia" w:ascii="仿宋_GB2312" w:hAnsi="仿宋_GB2312" w:eastAsia="仿宋_GB2312" w:cs="仿宋_GB2312"/>
          <w:color w:val="auto"/>
          <w:sz w:val="32"/>
          <w:szCs w:val="32"/>
        </w:rPr>
        <w:t>围绕</w:t>
      </w:r>
      <w:r>
        <w:rPr>
          <w:rFonts w:hint="eastAsia" w:ascii="仿宋_GB2312" w:hAnsi="仿宋_GB2312" w:eastAsia="仿宋_GB2312" w:cs="仿宋_GB2312"/>
          <w:color w:val="auto"/>
          <w:sz w:val="32"/>
          <w:szCs w:val="32"/>
          <w:lang w:eastAsia="zh-CN"/>
        </w:rPr>
        <w:t>北京国际科创中心</w:t>
      </w:r>
      <w:r>
        <w:rPr>
          <w:rFonts w:hint="eastAsia" w:ascii="仿宋_GB2312" w:hAnsi="仿宋_GB2312" w:eastAsia="仿宋_GB2312" w:cs="仿宋_GB2312"/>
          <w:color w:val="auto"/>
          <w:sz w:val="32"/>
          <w:szCs w:val="32"/>
        </w:rPr>
        <w:t>核心区新定位、新目标、新起点，准确把握医疗保障领域和相关领域之间改革的关系，积极探索研究“人民健康和医药健康产业发展”这两大领域的全生命周期医疗保障服务机制，逐步满足人民群众多层次的医疗保障需求，提供多样化的医保便捷服务，同时协同区域医药健康企业与医疗机构，整合供给侧与需求侧，实现精准对接，</w:t>
      </w:r>
      <w:r>
        <w:rPr>
          <w:rFonts w:hint="eastAsia" w:ascii="仿宋_GB2312" w:hAnsi="仿宋_GB2312" w:eastAsia="仿宋_GB2312" w:cs="仿宋_GB2312"/>
          <w:color w:val="auto"/>
          <w:sz w:val="32"/>
          <w:szCs w:val="32"/>
          <w:lang w:eastAsia="zh-CN"/>
        </w:rPr>
        <w:t>为</w:t>
      </w:r>
      <w:r>
        <w:rPr>
          <w:rFonts w:hint="eastAsia" w:ascii="仿宋_GB2312" w:hAnsi="仿宋_GB2312" w:eastAsia="仿宋_GB2312" w:cs="仿宋_GB2312"/>
          <w:color w:val="auto"/>
          <w:sz w:val="32"/>
          <w:szCs w:val="32"/>
        </w:rPr>
        <w:t>实现“患者、企业、医院、医护人员”四方满意</w:t>
      </w:r>
      <w:r>
        <w:rPr>
          <w:rFonts w:hint="eastAsia" w:ascii="仿宋_GB2312" w:hAnsi="仿宋_GB2312" w:eastAsia="仿宋_GB2312" w:cs="仿宋_GB2312"/>
          <w:color w:val="auto"/>
          <w:sz w:val="32"/>
          <w:szCs w:val="32"/>
          <w:lang w:eastAsia="zh-CN"/>
        </w:rPr>
        <w:t>，提供</w:t>
      </w:r>
      <w:r>
        <w:rPr>
          <w:rFonts w:hint="eastAsia" w:ascii="仿宋_GB2312" w:hAnsi="仿宋_GB2312" w:eastAsia="仿宋_GB2312" w:cs="仿宋_GB2312"/>
          <w:color w:val="auto"/>
          <w:sz w:val="32"/>
          <w:szCs w:val="32"/>
        </w:rPr>
        <w:t>具有区域特色的海淀方案、海淀模式</w:t>
      </w:r>
      <w:r>
        <w:rPr>
          <w:rFonts w:hint="eastAsia" w:ascii="仿宋_GB2312" w:hAnsi="仿宋_GB2312" w:eastAsia="仿宋_GB2312" w:cs="仿宋_GB2312"/>
          <w:color w:val="auto"/>
          <w:sz w:val="32"/>
          <w:szCs w:val="32"/>
          <w:lang w:eastAsia="zh-CN"/>
        </w:rPr>
        <w:t>，主要有</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个方面共</w:t>
      </w:r>
      <w:r>
        <w:rPr>
          <w:rFonts w:hint="eastAsia" w:ascii="仿宋_GB2312" w:hAnsi="仿宋_GB2312" w:eastAsia="仿宋_GB2312" w:cs="仿宋_GB2312"/>
          <w:color w:val="auto"/>
          <w:sz w:val="32"/>
          <w:szCs w:val="32"/>
          <w:lang w:val="en-US" w:eastAsia="zh-CN"/>
        </w:rPr>
        <w:t>15条创新举措。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（一）党建创新，照亮前进“新”方向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进一步发挥党建引领区域发展优势，牢牢抓住中国共产党领导下的医疗保障制度优势，积极主动与市医保局成立联合工作组，落实各项重点任务，并大力推进协同医保建设，从单打独斗转向多部门协同合作，积极为患者、企业、医院、医护人员解决实际困难。</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1.建立海淀区大健康创新合伙人实验室</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color w:val="auto"/>
          <w:sz w:val="32"/>
          <w:szCs w:val="32"/>
        </w:rPr>
        <w:t>通过详细了解区域内各企业发展方向、业务优势和现实困难，以科技企业、医疗机构为主体，与区工商联、中关村科学城管委会紧密携手，坚持“三医联动”，依托区工商联大健康产业专委会，共同建立“海淀区大健康创新合伙人实验室”，助力覆盖企业全生命周期的大健康产业发展，培育释放辖区健康产业发展新动能，协助市区医保部门发挥经济杠杆作用，鼓励新技术、新产品、新服务应用，厚植海淀区医药健康企业发展的医保创新生态雨林。</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2</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rPr>
        <w:t>打造医保与大健康产业临床试验基地</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color w:val="auto"/>
          <w:sz w:val="32"/>
          <w:szCs w:val="32"/>
        </w:rPr>
        <w:t>选定区域内试点医疗机构，打造医保与大健康产业“临床应用试验基地”，在研发、生产和销售推广等环节，为企业提供患者现阶段刚需，借助区域内优势医疗资源，实现企业产品和临床应用、患者需求的精准对接。进一步深化医保领域科技创新与产业创新的互动融合，覆盖全生命周期的大健康产业。</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3</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rPr>
        <w:t>建设海淀区医疗保障“云史馆”</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color w:val="auto"/>
          <w:sz w:val="32"/>
          <w:szCs w:val="32"/>
        </w:rPr>
        <w:t>全面整合十八大以来，特别是抗疫3年来以及冬奥冬残奥会的“医保贡献”。打造线上展厅，重点展示辖区医药健康企业新项目、新技术、新成果，展示医疗机构创新科研成果、学科领域前沿动态，使之成为利民助企的线上实时融合交流平台。实现多媒体交互功能，增强“互联网+医保”传播的覆盖面和影响力，让区域内1300家医药健康企业的好产品和新技术，第一时间被更多的医药机构和医护人员认识及应用，为患者带去更多民生福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（二）机制创新，推动合作“享”共赢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我局与科信局、工商联、卫健委、市监局、发改委、财政局等部门多次协同联动，探索进一步助力辖区医药健康产业高质量发展的工作机制。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4.</w:t>
      </w:r>
      <w:r>
        <w:rPr>
          <w:rFonts w:hint="eastAsia" w:ascii="仿宋_GB2312" w:hAnsi="仿宋_GB2312" w:eastAsia="仿宋_GB2312" w:cs="仿宋_GB2312"/>
          <w:b/>
          <w:bCs/>
          <w:color w:val="auto"/>
          <w:sz w:val="32"/>
          <w:szCs w:val="32"/>
        </w:rPr>
        <w:t>推进“三医联动”，加强部门协同配合</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color w:val="auto"/>
          <w:sz w:val="32"/>
          <w:szCs w:val="32"/>
        </w:rPr>
        <w:t>与区卫健委、区市场监管局，不断深化医药、医疗、医保之间的联动，共同打造具有海淀特色的“三医”联动模式。从“出生”开始一直到“退休”，全面梳理汇总参保人、参保企业生命全周期的健康服务事项，让群众个人和企业一目了然，方便全程线上办理，且覆盖了人保局、街镇等多领域多部门多事项，编制了真正便民利企的《生命周期呵护指南》。与区市场监管局针对定点零售药店资源优化配置、联合开展高值耗材专项治理、推动建立“6+4”监管体系等工作多次开展专项合作，并为今年下半年实施的个人账户改革“未诉先办”，会商助力服务定点药店发展，扩大健康消费。助力区卫健委制订《开展医药购销领域商业贿赂专项治理工作实施方案》，完善辖区“6+5”医联体服务体系，构建了包括健康教育、预防保健、疾病诊治、康复护理、长期照护、安宁疗护在内的老年健康服务体系。</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5.</w:t>
      </w:r>
      <w:r>
        <w:rPr>
          <w:rFonts w:hint="eastAsia" w:ascii="仿宋_GB2312" w:hAnsi="仿宋_GB2312" w:eastAsia="仿宋_GB2312" w:cs="仿宋_GB2312"/>
          <w:b/>
          <w:bCs/>
          <w:color w:val="auto"/>
          <w:sz w:val="32"/>
          <w:szCs w:val="32"/>
        </w:rPr>
        <w:t>加强总额调控，深化医保支付方式改革</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color w:val="auto"/>
          <w:sz w:val="32"/>
          <w:szCs w:val="32"/>
        </w:rPr>
        <w:t>持续深化医保支付方式改革，在总额预算下，不断完善按疾病诊断相关分组付费、定额付费等多种方式并存的多元复合式医保支付方式。完善医院协商协调机制，科学制定总额预算，与医疗服务质量、协议履行情况和医保费用效率挂钩，实现总额管理提质增效。推广住院按疾病诊断相关分组付费，配合做好按疾病诊断相关分组付费方式国家技术标准的制定，以及在本市的落地工作，将病种实施范围扩大至全病组，建立完善以控制成本、规范诊疗、提高医护人员积极性为核心的按疾病诊断相关分组付费管理体系。科学兼顾医疗机构、医保部门、患者三方平衡，做好医疗服务价格项目规范调整。鼓励各定点医药机构进一步强化医保部门人力配备和技术装备，推动“智慧医保”研究，提高精细化服务管理水平，实现精准医疗，真正落实分级诊疗，避免出现过度检查和治疗，助力定点医药机构的长期可持续发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6.</w:t>
      </w:r>
      <w:r>
        <w:rPr>
          <w:rFonts w:hint="eastAsia" w:ascii="仿宋_GB2312" w:hAnsi="仿宋_GB2312" w:eastAsia="仿宋_GB2312" w:cs="仿宋_GB2312"/>
          <w:b/>
          <w:bCs/>
          <w:color w:val="auto"/>
          <w:sz w:val="32"/>
          <w:szCs w:val="32"/>
        </w:rPr>
        <w:t>注重制度建设，实现精细管理</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color w:val="auto"/>
          <w:sz w:val="32"/>
          <w:szCs w:val="32"/>
        </w:rPr>
        <w:t>由我局、发改委、卫健委、药监等部门联动，协调北京市和国家相关部门，推动医疗技术创新，协助企业新增医疗服务项目和价格申报备案。在基本医疗保险药品目录调整时，推动符合条件的、具有自主知识产权的、临床必需的、疗效确切的创新药品、医疗器械和医疗服务项目，纳入基本医疗保险支付范围。推进医疗保障经办机构法人治理，积极引入社会力量参与经办服务，规范和加强与商业保险机构、社会组织的合作，完善激励约束机制。探索建立跨区域医保管理协作机制，实现全流程、无缝隙公共服务和基金监管，更好发挥高端智库等专业机构决策支持和技术支撑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（三）模式创新，先行先试“惠”民生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我局科学谋划新时期医保创新服务模式，构建具有特色的海淀方案、海淀模式，努力实现医保政策“保得住”，医保基金“管得好”，医保经办“更便捷”。</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7.</w:t>
      </w:r>
      <w:r>
        <w:rPr>
          <w:rFonts w:hint="eastAsia" w:ascii="仿宋_GB2312" w:hAnsi="仿宋_GB2312" w:eastAsia="仿宋_GB2312" w:cs="仿宋_GB2312"/>
          <w:b/>
          <w:bCs/>
          <w:color w:val="auto"/>
          <w:sz w:val="32"/>
          <w:szCs w:val="32"/>
        </w:rPr>
        <w:t>扩大“长护险”试点，助力养老服务高质量发展</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color w:val="auto"/>
          <w:sz w:val="32"/>
          <w:szCs w:val="32"/>
        </w:rPr>
        <w:t>重点探索并完善海淀区特色“长期护理保险服务包”，推出“一次上门”服务，涵盖失能评估、健康管理团队（含家医）服务、互联网诊疗+医保+复诊送药、远程机器人视频诊疗等长期护理险增值服务，优先使用海淀区域内的创新产品和技术。通过今年上半年的评估测试试点，建立区域长护险专家人才智库，规范化落地长期护理保险的失能评估标准。规范长期护理服务供给，支持老年、护理、康复、妇幼、医疗相关产业融合发展。积极推进医保与商保融合发展，探索建立健全互助共济、责任共担的多渠道筹资机制和科学合理的待遇支付政策。扩大“长护险”试点，形成科学、高效、具有“全国示范、北京引领、海淀模式”的长期护理保险运行机制，在全市范围内推开。</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8.</w:t>
      </w:r>
      <w:r>
        <w:rPr>
          <w:rFonts w:hint="eastAsia" w:ascii="仿宋_GB2312" w:hAnsi="仿宋_GB2312" w:eastAsia="仿宋_GB2312" w:cs="仿宋_GB2312"/>
          <w:b/>
          <w:bCs/>
          <w:color w:val="auto"/>
          <w:sz w:val="32"/>
          <w:szCs w:val="32"/>
        </w:rPr>
        <w:t>立足医银结合，实现“先诊疗后付费”</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color w:val="auto"/>
          <w:sz w:val="32"/>
          <w:szCs w:val="32"/>
        </w:rPr>
        <w:t>在开展“新时期党建引领下的海淀区智慧医保创新场景应用项目”的基础上，选取“信用医疗”、“互联网+智慧药柜”、“云药房”、“医保大数据”和“智慧医保服务大厅”5个应用场景，进行试点，着力解决服务效率低下、医院医药难以分家、定点药店医保支付率低等问题。积极申报“海淀区智慧医保服务信用结算平台信息化项目”，计划建设信用医疗结算子系统，通过与信用渠道的对接，实现患者快速申请授信，信用兜底“先诊疗后付费”，助力疫情防控等特殊场景工作。建设基于国产化区块链技术的信用医保链业务链，打通我局、医疗机构、银行、保险公司、患者个人之间的数据可信来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9.</w:t>
      </w:r>
      <w:r>
        <w:rPr>
          <w:rFonts w:hint="eastAsia" w:ascii="仿宋_GB2312" w:hAnsi="仿宋_GB2312" w:eastAsia="仿宋_GB2312" w:cs="仿宋_GB2312"/>
          <w:b/>
          <w:bCs/>
          <w:color w:val="auto"/>
          <w:sz w:val="32"/>
          <w:szCs w:val="32"/>
        </w:rPr>
        <w:t>采用“智能药柜”，打造一站式就医服务</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color w:val="auto"/>
          <w:sz w:val="32"/>
          <w:szCs w:val="32"/>
        </w:rPr>
        <w:t>开展“互联网+医保实时结算＋医药服务”试点工作，引入一站式“智慧药柜”, 集自助挂号、医保结算、在线缴费、智能取药功能于一体，实现了全触屏操作、多渠道付款、取药短信提示、药品恒温恒湿保存。医生将患者所需药品统一配送至“智慧药柜”，患者根据短信提示，携带身份证、社保卡或医保电子凭证即可开门取药。目前，已将北下关社区卫生服务中心的成功经验，逐步推广至全区加大便民利企应用，充分整合优质资源，努力探索智慧型家医服务新模式，以信息化、智能化“医保杠杆”推动家庭医生网格化管理，改善参保患者看病就医体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lang w:eastAsia="zh-CN"/>
        </w:rPr>
        <w:t>（四）</w:t>
      </w:r>
      <w:r>
        <w:rPr>
          <w:rFonts w:hint="eastAsia" w:ascii="楷体_GB2312" w:hAnsi="楷体_GB2312" w:eastAsia="楷体_GB2312" w:cs="楷体_GB2312"/>
          <w:color w:val="auto"/>
          <w:sz w:val="32"/>
          <w:szCs w:val="32"/>
        </w:rPr>
        <w:t>流程创新，优化服务“促”效率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进一步推广区域定点医药机构“互联网+医保”服务，打造“线上就诊、线下就近取药”或“送药到家”模式。营造就医购药全流程服务新体验，提升医保便捷支付效率，打造新型看病购药流程。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10.</w:t>
      </w:r>
      <w:r>
        <w:rPr>
          <w:rFonts w:hint="eastAsia" w:ascii="仿宋_GB2312" w:hAnsi="仿宋_GB2312" w:eastAsia="仿宋_GB2312" w:cs="仿宋_GB2312"/>
          <w:b/>
          <w:bCs/>
          <w:color w:val="auto"/>
          <w:sz w:val="32"/>
          <w:szCs w:val="32"/>
        </w:rPr>
        <w:t>完善“互联网+医保”结算方式，支持新服务模式规范发展</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color w:val="auto"/>
          <w:sz w:val="32"/>
          <w:szCs w:val="32"/>
        </w:rPr>
        <w:t>努力完善“互联网+医保”结算模式。方便参保人员“足不出户”便实现问诊、开药、医保即时在线支付、送药上门的医药服务，送药到家入户，送医保服务进社区、进校区、进园区，提高医保基金使用效率。支持“互联网+医疗”等新服务模式规范发展，进一步推广航天中心医院、世纪坛医院、北大肿瘤医院和北京三诺健恒糖尿病医院成功经验，将符合条件的互联网医院等医疗机构纳入协议管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11．助力中药邮寄服务，优化取药流程</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color w:val="auto"/>
          <w:sz w:val="32"/>
          <w:szCs w:val="32"/>
        </w:rPr>
        <w:t>不宜存放在智能药具柜里的，采取邮寄服务方式，包括代煎中药、自煎中药饮片、配方颗粒等药品邮寄，极大程度为患者节省了等候时间，解决了二次往返医院不方便的问题，为行动不便的患者和低龄、老年患者提供了便利条件。推广北京中西医结合医院成功经验，借助二维码小程序，患者只需将缴费后的处方交至中草药窗口，扫二维码在手机上填写信息，即可在家等候快递员将中药配送上门，非常方便。</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12．推进跨省异地就医住院费用和门（急）诊费用直接结算，逐步实现“结算即报”</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color w:val="auto"/>
          <w:sz w:val="32"/>
          <w:szCs w:val="32"/>
        </w:rPr>
        <w:t>扎实推进跨省异地就医住院费用和门（急）诊费用直接结算的平稳运行，指导并协助航天中心医院、空军特色医学中心和西苑医院做好异地门诊慢特病直结试点相关工作，积极推进试点医保定点药店异地直接结算，满足异地患者多样化医保服务需求，尤其是解决了疫情防控期间异地患者的诸多看病购药困难。实现患者在参保地完成试点病种待遇资格认定，并完成跨省异地就医备案手续，随后前往试点医院即可就医，按照“就医地目录，参保地政策”进行结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（五）科技创新，智慧赋能“增”方法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在全国统一的医疗保障信息平台框架下，我局深入推进科技支撑的医保创新服务，重点推进医保电子凭证，营造就医购药全流程服务新体验。</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13．全面建设科技大厅示范点</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color w:val="auto"/>
          <w:sz w:val="32"/>
          <w:szCs w:val="32"/>
        </w:rPr>
        <w:t>全面打造科技大厅，坚持传统服务方式与智能化服务创新并行，畅通“互联网+政务网+移动通讯网+物流网”四网合一医保服务模式，打通“线上公开政务服务事项、线下开展专题培训、对外畅通咨询电话”三条沟通路径。积极打造医保服务大厅智慧医保创新应用场景，使用“海淀小跑”送单机器人，推进医疗保障政务服务全程“网上办”、“掌上办”。探索生育津贴发放和生育医疗费用报销绑定“一站式”申领，方便群众和企业就医结算。</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14．推进“产学研用”相结合模式，鼓励科技赋能</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color w:val="auto"/>
          <w:sz w:val="32"/>
          <w:szCs w:val="32"/>
        </w:rPr>
        <w:t>探索发挥政府组织作用和服务优势，推进“产学研用”相结合模式，促进骨科手术机器人等新技术在医疗机构的落地应用，以科技赋能、人才赋能促进医保及其相关行业产业的高质量发展，提供给人民群众最优质的民生医保服务。加强信息安全化、决策数字化、管理精细化、服务智能化的智慧医保体系建设，以信息化、智能化推动海淀区医疗机构发展，充分整合优质资源，为百姓提供便捷医疗、高效医疗、动态医疗。大力拓展医疗新技术，创新推进“远程手术”医保结算，为更多患者提供更加高效、便捷、全周期的健康服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15．持续深化医保电子凭证的推广工作</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color w:val="auto"/>
          <w:sz w:val="32"/>
          <w:szCs w:val="32"/>
        </w:rPr>
        <w:t>为大力推进“智慧医保”体系建设，在全区范围内积极开展医保电子凭证推广工作，在我区400余家定点医药机构、29个街镇便民服务中心、企业园区、区政府办公区等重点区域开展线下宣传，采用微信公众号、短视频推送、短信推送等方式进行线上推广，进一步方便参保群众办理医保业务，提升医保公共服务水平。推广航天中心医院基于医保电子凭证就医全场景应用模式，支持在线完成预约挂号、医保结算、移动付费、扫码支付、检查取药、查阅报告、处方外配等全流程的就医服务，进一步优化就医流程，提升参保群众获得感、幸福感。</w:t>
      </w:r>
    </w:p>
    <w:p>
      <w:pPr>
        <w:keepNext w:val="0"/>
        <w:keepLines w:val="0"/>
        <w:pageBreakBefore w:val="0"/>
        <w:widowControl w:val="0"/>
        <w:kinsoku/>
        <w:wordWrap/>
        <w:overflowPunct/>
        <w:topLinePunct w:val="0"/>
        <w:autoSpaceDE/>
        <w:autoSpaceDN/>
        <w:bidi w:val="0"/>
        <w:adjustRightInd/>
        <w:snapToGrid/>
        <w:spacing w:line="560" w:lineRule="exact"/>
        <w:ind w:firstLine="70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宋体"/>
          <w:color w:val="000000"/>
          <w:spacing w:val="15"/>
          <w:kern w:val="0"/>
          <w:sz w:val="32"/>
          <w:szCs w:val="32"/>
          <w:lang w:eastAsia="zh-CN"/>
        </w:rPr>
        <w:t>以</w:t>
      </w:r>
      <w:r>
        <w:rPr>
          <w:rFonts w:hint="default" w:ascii="仿宋_GB2312" w:hAnsi="仿宋_GB2312" w:eastAsia="仿宋_GB2312" w:cs="宋体"/>
          <w:color w:val="000000"/>
          <w:spacing w:val="15"/>
          <w:kern w:val="0"/>
          <w:sz w:val="32"/>
          <w:szCs w:val="32"/>
          <w:lang w:val="en-US" w:eastAsia="zh-CN"/>
        </w:rPr>
        <w:t>上是我</w:t>
      </w:r>
      <w:r>
        <w:rPr>
          <w:rFonts w:hint="eastAsia" w:ascii="仿宋_GB2312" w:hAnsi="仿宋_GB2312" w:eastAsia="仿宋_GB2312" w:cs="宋体"/>
          <w:color w:val="000000"/>
          <w:spacing w:val="15"/>
          <w:kern w:val="0"/>
          <w:sz w:val="32"/>
          <w:szCs w:val="32"/>
          <w:lang w:val="en-US" w:eastAsia="zh-CN"/>
        </w:rPr>
        <w:t>从学理论、保基本、勇</w:t>
      </w:r>
      <w:r>
        <w:rPr>
          <w:rFonts w:hint="default" w:ascii="仿宋_GB2312" w:hAnsi="仿宋_GB2312" w:eastAsia="仿宋_GB2312" w:cs="宋体"/>
          <w:color w:val="000000"/>
          <w:spacing w:val="15"/>
          <w:kern w:val="0"/>
          <w:sz w:val="32"/>
          <w:szCs w:val="32"/>
          <w:lang w:val="en-US" w:eastAsia="zh-CN"/>
        </w:rPr>
        <w:t>创</w:t>
      </w:r>
      <w:r>
        <w:rPr>
          <w:rFonts w:hint="eastAsia" w:ascii="仿宋_GB2312" w:hAnsi="仿宋_GB2312" w:eastAsia="仿宋_GB2312" w:cs="宋体"/>
          <w:color w:val="000000"/>
          <w:spacing w:val="15"/>
          <w:kern w:val="0"/>
          <w:sz w:val="32"/>
          <w:szCs w:val="32"/>
          <w:lang w:val="en-US" w:eastAsia="zh-CN"/>
        </w:rPr>
        <w:t>新三</w:t>
      </w:r>
      <w:r>
        <w:rPr>
          <w:rFonts w:hint="default" w:ascii="仿宋_GB2312" w:hAnsi="仿宋_GB2312" w:eastAsia="仿宋_GB2312" w:cs="宋体"/>
          <w:color w:val="000000"/>
          <w:spacing w:val="15"/>
          <w:kern w:val="0"/>
          <w:sz w:val="32"/>
          <w:szCs w:val="32"/>
          <w:lang w:val="en-US" w:eastAsia="zh-CN"/>
        </w:rPr>
        <w:t>个</w:t>
      </w:r>
      <w:r>
        <w:rPr>
          <w:rFonts w:hint="eastAsia" w:ascii="仿宋_GB2312" w:hAnsi="仿宋_GB2312" w:eastAsia="仿宋_GB2312" w:cs="宋体"/>
          <w:color w:val="000000"/>
          <w:spacing w:val="15"/>
          <w:kern w:val="0"/>
          <w:sz w:val="32"/>
          <w:szCs w:val="32"/>
          <w:lang w:val="en-US" w:eastAsia="zh-CN"/>
        </w:rPr>
        <w:t>方面，和大家做了交流，</w:t>
      </w:r>
      <w:r>
        <w:rPr>
          <w:rFonts w:hint="default" w:ascii="仿宋_GB2312" w:hAnsi="仿宋_GB2312" w:eastAsia="仿宋_GB2312" w:cs="宋体"/>
          <w:color w:val="000000"/>
          <w:spacing w:val="15"/>
          <w:kern w:val="0"/>
          <w:sz w:val="32"/>
          <w:szCs w:val="32"/>
          <w:lang w:val="en-US" w:eastAsia="zh-CN"/>
        </w:rPr>
        <w:t>目</w:t>
      </w:r>
      <w:r>
        <w:rPr>
          <w:rFonts w:hint="eastAsia" w:ascii="仿宋_GB2312" w:hAnsi="仿宋_GB2312" w:eastAsia="仿宋_GB2312" w:cs="宋体"/>
          <w:color w:val="000000"/>
          <w:spacing w:val="15"/>
          <w:kern w:val="0"/>
          <w:sz w:val="32"/>
          <w:szCs w:val="32"/>
          <w:lang w:val="en-US" w:eastAsia="zh-CN"/>
        </w:rPr>
        <w:t>的是统一思想、提高认识、</w:t>
      </w:r>
      <w:r>
        <w:rPr>
          <w:rFonts w:hint="default" w:ascii="仿宋_GB2312" w:hAnsi="仿宋_GB2312" w:eastAsia="仿宋_GB2312" w:cs="宋体"/>
          <w:color w:val="000000"/>
          <w:spacing w:val="15"/>
          <w:kern w:val="0"/>
          <w:sz w:val="32"/>
          <w:szCs w:val="32"/>
          <w:lang w:val="en-US" w:eastAsia="zh-CN"/>
        </w:rPr>
        <w:t>党</w:t>
      </w:r>
      <w:r>
        <w:rPr>
          <w:rFonts w:hint="eastAsia" w:ascii="仿宋_GB2312" w:hAnsi="仿宋_GB2312" w:eastAsia="仿宋_GB2312" w:cs="宋体"/>
          <w:color w:val="000000"/>
          <w:spacing w:val="15"/>
          <w:kern w:val="0"/>
          <w:sz w:val="32"/>
          <w:szCs w:val="32"/>
          <w:lang w:val="en-US" w:eastAsia="zh-CN"/>
        </w:rPr>
        <w:t>建</w:t>
      </w:r>
      <w:r>
        <w:rPr>
          <w:rFonts w:hint="default" w:ascii="仿宋_GB2312" w:hAnsi="仿宋_GB2312" w:eastAsia="仿宋_GB2312" w:cs="宋体"/>
          <w:color w:val="000000"/>
          <w:spacing w:val="15"/>
          <w:kern w:val="0"/>
          <w:sz w:val="32"/>
          <w:szCs w:val="32"/>
          <w:lang w:val="en-US" w:eastAsia="zh-CN"/>
        </w:rPr>
        <w:t>引</w:t>
      </w:r>
      <w:r>
        <w:rPr>
          <w:rFonts w:hint="eastAsia" w:ascii="仿宋_GB2312" w:hAnsi="仿宋_GB2312" w:eastAsia="仿宋_GB2312" w:cs="宋体"/>
          <w:color w:val="000000"/>
          <w:spacing w:val="15"/>
          <w:kern w:val="0"/>
          <w:sz w:val="32"/>
          <w:szCs w:val="32"/>
          <w:lang w:val="en-US" w:eastAsia="zh-CN"/>
        </w:rPr>
        <w:t>领、凝</w:t>
      </w:r>
      <w:r>
        <w:rPr>
          <w:rFonts w:hint="default" w:ascii="仿宋_GB2312" w:hAnsi="仿宋_GB2312" w:eastAsia="仿宋_GB2312" w:cs="宋体"/>
          <w:color w:val="000000"/>
          <w:spacing w:val="15"/>
          <w:kern w:val="0"/>
          <w:sz w:val="32"/>
          <w:szCs w:val="32"/>
          <w:lang w:val="en-US" w:eastAsia="zh-CN"/>
        </w:rPr>
        <w:t>心</w:t>
      </w:r>
      <w:r>
        <w:rPr>
          <w:rFonts w:hint="eastAsia" w:ascii="仿宋_GB2312" w:hAnsi="仿宋_GB2312" w:eastAsia="仿宋_GB2312" w:cs="宋体"/>
          <w:color w:val="000000"/>
          <w:spacing w:val="15"/>
          <w:kern w:val="0"/>
          <w:sz w:val="32"/>
          <w:szCs w:val="32"/>
          <w:lang w:val="en-US" w:eastAsia="zh-CN"/>
        </w:rPr>
        <w:t>聚力，共</w:t>
      </w:r>
      <w:r>
        <w:rPr>
          <w:rFonts w:hint="default" w:ascii="仿宋_GB2312" w:hAnsi="仿宋_GB2312" w:eastAsia="仿宋_GB2312" w:cs="宋体"/>
          <w:color w:val="000000"/>
          <w:spacing w:val="15"/>
          <w:kern w:val="0"/>
          <w:sz w:val="32"/>
          <w:szCs w:val="32"/>
          <w:lang w:val="en-US" w:eastAsia="zh-CN"/>
        </w:rPr>
        <w:t>同</w:t>
      </w:r>
      <w:r>
        <w:rPr>
          <w:rFonts w:hint="eastAsia" w:ascii="仿宋_GB2312" w:hAnsi="仿宋_GB2312" w:eastAsia="仿宋_GB2312" w:cs="宋体"/>
          <w:color w:val="000000"/>
          <w:spacing w:val="15"/>
          <w:kern w:val="0"/>
          <w:sz w:val="32"/>
          <w:szCs w:val="32"/>
          <w:lang w:val="en-US" w:eastAsia="zh-CN"/>
        </w:rPr>
        <w:t>谋划和推进我区医疗保障事</w:t>
      </w:r>
      <w:r>
        <w:rPr>
          <w:rFonts w:hint="default" w:ascii="仿宋_GB2312" w:hAnsi="仿宋_GB2312" w:eastAsia="仿宋_GB2312" w:cs="宋体"/>
          <w:color w:val="000000"/>
          <w:spacing w:val="15"/>
          <w:kern w:val="0"/>
          <w:sz w:val="32"/>
          <w:szCs w:val="32"/>
          <w:lang w:val="en-US" w:eastAsia="zh-CN"/>
        </w:rPr>
        <w:t>业</w:t>
      </w:r>
      <w:r>
        <w:rPr>
          <w:rFonts w:hint="eastAsia" w:ascii="仿宋_GB2312" w:hAnsi="仿宋_GB2312" w:eastAsia="仿宋_GB2312" w:cs="宋体"/>
          <w:color w:val="000000"/>
          <w:spacing w:val="15"/>
          <w:kern w:val="0"/>
          <w:sz w:val="32"/>
          <w:szCs w:val="32"/>
          <w:lang w:val="en-US" w:eastAsia="zh-CN"/>
        </w:rPr>
        <w:t>高质量发</w:t>
      </w:r>
      <w:r>
        <w:rPr>
          <w:rFonts w:hint="default" w:ascii="仿宋_GB2312" w:hAnsi="仿宋_GB2312" w:eastAsia="仿宋_GB2312" w:cs="宋体"/>
          <w:color w:val="000000"/>
          <w:spacing w:val="15"/>
          <w:kern w:val="0"/>
          <w:sz w:val="32"/>
          <w:szCs w:val="32"/>
          <w:lang w:val="en-US" w:eastAsia="zh-CN"/>
        </w:rPr>
        <w:t>展</w:t>
      </w:r>
      <w:r>
        <w:rPr>
          <w:rFonts w:hint="eastAsia" w:ascii="仿宋_GB2312" w:hAnsi="仿宋_GB2312" w:eastAsia="仿宋_GB2312" w:cs="宋体"/>
          <w:color w:val="000000"/>
          <w:spacing w:val="15"/>
          <w:kern w:val="0"/>
          <w:sz w:val="32"/>
          <w:szCs w:val="32"/>
          <w:lang w:val="en-US" w:eastAsia="zh-CN"/>
        </w:rPr>
        <w:t>，以优异成绩迎接党的二十大胜利召开。谢谢</w:t>
      </w:r>
      <w:r>
        <w:rPr>
          <w:rFonts w:hint="default" w:ascii="仿宋_GB2312" w:hAnsi="仿宋_GB2312" w:eastAsia="仿宋_GB2312" w:cs="宋体"/>
          <w:color w:val="000000"/>
          <w:spacing w:val="15"/>
          <w:kern w:val="0"/>
          <w:sz w:val="32"/>
          <w:szCs w:val="32"/>
          <w:lang w:val="en-US" w:eastAsia="zh-CN"/>
        </w:rPr>
        <w:t>大</w:t>
      </w:r>
      <w:r>
        <w:rPr>
          <w:rFonts w:hint="eastAsia" w:ascii="仿宋_GB2312" w:hAnsi="仿宋_GB2312" w:eastAsia="仿宋_GB2312" w:cs="宋体"/>
          <w:color w:val="000000"/>
          <w:spacing w:val="15"/>
          <w:kern w:val="0"/>
          <w:sz w:val="32"/>
          <w:szCs w:val="32"/>
          <w:lang w:val="en-US" w:eastAsia="zh-CN"/>
        </w:rPr>
        <w:t>家！</w:t>
      </w:r>
    </w:p>
    <w:p/>
    <w:sectPr>
      <w:pgSz w:w="11906" w:h="16838"/>
      <w:pgMar w:top="2098" w:right="1678"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00000000000000000"/>
    <w:charset w:val="86"/>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E1NzYyNGMzMmQzNTU1YzkzOWNiZjlmM2NkYjcifQ=="/>
  </w:docVars>
  <w:rsids>
    <w:rsidRoot w:val="00000000"/>
    <w:rsid w:val="00C94BFF"/>
    <w:rsid w:val="01461ADD"/>
    <w:rsid w:val="014D7409"/>
    <w:rsid w:val="016D3EEB"/>
    <w:rsid w:val="019C3CB8"/>
    <w:rsid w:val="032C0D3A"/>
    <w:rsid w:val="03913D48"/>
    <w:rsid w:val="03C1417A"/>
    <w:rsid w:val="04D24BE0"/>
    <w:rsid w:val="059E2649"/>
    <w:rsid w:val="05C468A0"/>
    <w:rsid w:val="07651619"/>
    <w:rsid w:val="076B1654"/>
    <w:rsid w:val="09141A83"/>
    <w:rsid w:val="099F14C6"/>
    <w:rsid w:val="09CF5A17"/>
    <w:rsid w:val="0A3C2B3D"/>
    <w:rsid w:val="0B0C7BFD"/>
    <w:rsid w:val="0B650AC0"/>
    <w:rsid w:val="0C7E21A9"/>
    <w:rsid w:val="0CD97D35"/>
    <w:rsid w:val="104A3D2E"/>
    <w:rsid w:val="11C30383"/>
    <w:rsid w:val="11D607C4"/>
    <w:rsid w:val="12B828AF"/>
    <w:rsid w:val="130B6AC1"/>
    <w:rsid w:val="14E27F47"/>
    <w:rsid w:val="14F14CF4"/>
    <w:rsid w:val="1536755F"/>
    <w:rsid w:val="15683289"/>
    <w:rsid w:val="162A3E0A"/>
    <w:rsid w:val="17B10F19"/>
    <w:rsid w:val="18AF5CBA"/>
    <w:rsid w:val="190C0F61"/>
    <w:rsid w:val="1B0F5E5C"/>
    <w:rsid w:val="1B62233B"/>
    <w:rsid w:val="1C133575"/>
    <w:rsid w:val="1C3E5DB0"/>
    <w:rsid w:val="1CAF004B"/>
    <w:rsid w:val="1D1159B8"/>
    <w:rsid w:val="1D7C25A9"/>
    <w:rsid w:val="1EF46745"/>
    <w:rsid w:val="1F270E43"/>
    <w:rsid w:val="20205A67"/>
    <w:rsid w:val="20F94819"/>
    <w:rsid w:val="214A0846"/>
    <w:rsid w:val="215B1106"/>
    <w:rsid w:val="229604AB"/>
    <w:rsid w:val="22E55AB7"/>
    <w:rsid w:val="23297788"/>
    <w:rsid w:val="23866978"/>
    <w:rsid w:val="245B7F28"/>
    <w:rsid w:val="24BB0AC6"/>
    <w:rsid w:val="25011AA5"/>
    <w:rsid w:val="251311FA"/>
    <w:rsid w:val="25287026"/>
    <w:rsid w:val="257E00DA"/>
    <w:rsid w:val="25AC3994"/>
    <w:rsid w:val="25E661B4"/>
    <w:rsid w:val="26F5069C"/>
    <w:rsid w:val="276A2956"/>
    <w:rsid w:val="277725F3"/>
    <w:rsid w:val="27962646"/>
    <w:rsid w:val="27C940EC"/>
    <w:rsid w:val="28FE7820"/>
    <w:rsid w:val="290C6C74"/>
    <w:rsid w:val="293A5B28"/>
    <w:rsid w:val="294A7A26"/>
    <w:rsid w:val="29B47305"/>
    <w:rsid w:val="29E5316A"/>
    <w:rsid w:val="2AFB733A"/>
    <w:rsid w:val="2B040D7F"/>
    <w:rsid w:val="2B59246E"/>
    <w:rsid w:val="2BD76965"/>
    <w:rsid w:val="2C316F66"/>
    <w:rsid w:val="2C4A6C0C"/>
    <w:rsid w:val="2D0862AB"/>
    <w:rsid w:val="2DB45FE7"/>
    <w:rsid w:val="2E481253"/>
    <w:rsid w:val="2F5C6057"/>
    <w:rsid w:val="2F5F337D"/>
    <w:rsid w:val="302D7203"/>
    <w:rsid w:val="30B1537C"/>
    <w:rsid w:val="30C267AF"/>
    <w:rsid w:val="31945A8E"/>
    <w:rsid w:val="32841235"/>
    <w:rsid w:val="32D2493C"/>
    <w:rsid w:val="33D45277"/>
    <w:rsid w:val="341C3C0C"/>
    <w:rsid w:val="348B20FF"/>
    <w:rsid w:val="35A52433"/>
    <w:rsid w:val="367D3786"/>
    <w:rsid w:val="37587AE1"/>
    <w:rsid w:val="37644991"/>
    <w:rsid w:val="37C84B5F"/>
    <w:rsid w:val="38D31FE9"/>
    <w:rsid w:val="38F912EC"/>
    <w:rsid w:val="39072567"/>
    <w:rsid w:val="3B65146C"/>
    <w:rsid w:val="3BA56B15"/>
    <w:rsid w:val="3C1E2C07"/>
    <w:rsid w:val="3C323BF3"/>
    <w:rsid w:val="3CF07581"/>
    <w:rsid w:val="3D6D1940"/>
    <w:rsid w:val="3E3B69AA"/>
    <w:rsid w:val="3E614F66"/>
    <w:rsid w:val="3EDE3C50"/>
    <w:rsid w:val="3EF42982"/>
    <w:rsid w:val="3F9959C3"/>
    <w:rsid w:val="3FA46C75"/>
    <w:rsid w:val="408A5646"/>
    <w:rsid w:val="408E1B91"/>
    <w:rsid w:val="40CF4726"/>
    <w:rsid w:val="40E23D75"/>
    <w:rsid w:val="40EA4A3C"/>
    <w:rsid w:val="414A7895"/>
    <w:rsid w:val="415D5461"/>
    <w:rsid w:val="41852455"/>
    <w:rsid w:val="41C96109"/>
    <w:rsid w:val="42C945C7"/>
    <w:rsid w:val="43184C6E"/>
    <w:rsid w:val="43842C1A"/>
    <w:rsid w:val="4394164D"/>
    <w:rsid w:val="44ED0C3E"/>
    <w:rsid w:val="44F53C64"/>
    <w:rsid w:val="456B19FA"/>
    <w:rsid w:val="45F6016E"/>
    <w:rsid w:val="466130F6"/>
    <w:rsid w:val="468B2614"/>
    <w:rsid w:val="47546EE9"/>
    <w:rsid w:val="478C5017"/>
    <w:rsid w:val="47B60E69"/>
    <w:rsid w:val="48683C70"/>
    <w:rsid w:val="48BF19E5"/>
    <w:rsid w:val="48E10250"/>
    <w:rsid w:val="49820825"/>
    <w:rsid w:val="49A40EAD"/>
    <w:rsid w:val="49DC6A85"/>
    <w:rsid w:val="4A330451"/>
    <w:rsid w:val="4AB645C5"/>
    <w:rsid w:val="4ABA59CC"/>
    <w:rsid w:val="4B183287"/>
    <w:rsid w:val="4B282E1A"/>
    <w:rsid w:val="4BCE0BEB"/>
    <w:rsid w:val="4C4A7AB3"/>
    <w:rsid w:val="4C7B0B26"/>
    <w:rsid w:val="4CC14DF9"/>
    <w:rsid w:val="4CDD5728"/>
    <w:rsid w:val="4D06547A"/>
    <w:rsid w:val="4E08303C"/>
    <w:rsid w:val="4E8027BF"/>
    <w:rsid w:val="50430E03"/>
    <w:rsid w:val="51481300"/>
    <w:rsid w:val="516E7631"/>
    <w:rsid w:val="51C94ED2"/>
    <w:rsid w:val="520239D1"/>
    <w:rsid w:val="524922A6"/>
    <w:rsid w:val="5259548A"/>
    <w:rsid w:val="529A6D40"/>
    <w:rsid w:val="52D45574"/>
    <w:rsid w:val="53A818CA"/>
    <w:rsid w:val="54FD2A13"/>
    <w:rsid w:val="55283861"/>
    <w:rsid w:val="556B715C"/>
    <w:rsid w:val="56E4228D"/>
    <w:rsid w:val="5847728A"/>
    <w:rsid w:val="58490060"/>
    <w:rsid w:val="585B0DC8"/>
    <w:rsid w:val="58F126A5"/>
    <w:rsid w:val="59124205"/>
    <w:rsid w:val="5974722A"/>
    <w:rsid w:val="5A377C6C"/>
    <w:rsid w:val="5A5805C5"/>
    <w:rsid w:val="5ACB5C6D"/>
    <w:rsid w:val="5BF856F6"/>
    <w:rsid w:val="5C116477"/>
    <w:rsid w:val="5C4B24F7"/>
    <w:rsid w:val="5C97377C"/>
    <w:rsid w:val="5CEB4040"/>
    <w:rsid w:val="5D614A8D"/>
    <w:rsid w:val="5DF92DA0"/>
    <w:rsid w:val="5FD6390C"/>
    <w:rsid w:val="60A10471"/>
    <w:rsid w:val="64134539"/>
    <w:rsid w:val="64576C0F"/>
    <w:rsid w:val="657D0329"/>
    <w:rsid w:val="65847E1B"/>
    <w:rsid w:val="662C4833"/>
    <w:rsid w:val="66745F92"/>
    <w:rsid w:val="668D2089"/>
    <w:rsid w:val="67C941B7"/>
    <w:rsid w:val="67E435EA"/>
    <w:rsid w:val="67EC313F"/>
    <w:rsid w:val="69D30658"/>
    <w:rsid w:val="6A9E20E1"/>
    <w:rsid w:val="6B1E0C51"/>
    <w:rsid w:val="6B6E537F"/>
    <w:rsid w:val="6BA950AA"/>
    <w:rsid w:val="6BF05230"/>
    <w:rsid w:val="6C3D0287"/>
    <w:rsid w:val="6C6E2473"/>
    <w:rsid w:val="6C7C68C2"/>
    <w:rsid w:val="6D7E011A"/>
    <w:rsid w:val="6DB1062F"/>
    <w:rsid w:val="6DCB2D69"/>
    <w:rsid w:val="6E894386"/>
    <w:rsid w:val="6EB736EC"/>
    <w:rsid w:val="6ED47943"/>
    <w:rsid w:val="6F1F7EE8"/>
    <w:rsid w:val="6F2B66FB"/>
    <w:rsid w:val="6F5F1074"/>
    <w:rsid w:val="6F5F12A9"/>
    <w:rsid w:val="6F913363"/>
    <w:rsid w:val="6FB9148E"/>
    <w:rsid w:val="702175B0"/>
    <w:rsid w:val="721C7348"/>
    <w:rsid w:val="73297535"/>
    <w:rsid w:val="7396636F"/>
    <w:rsid w:val="73AD149D"/>
    <w:rsid w:val="74E069ED"/>
    <w:rsid w:val="75510CF7"/>
    <w:rsid w:val="77122528"/>
    <w:rsid w:val="782C74B2"/>
    <w:rsid w:val="78A76EAD"/>
    <w:rsid w:val="795E5AF9"/>
    <w:rsid w:val="798D7F32"/>
    <w:rsid w:val="7A9100E0"/>
    <w:rsid w:val="7A990154"/>
    <w:rsid w:val="7AFE3D15"/>
    <w:rsid w:val="7B296557"/>
    <w:rsid w:val="7B4C3A04"/>
    <w:rsid w:val="7C0076AE"/>
    <w:rsid w:val="7CA240AB"/>
    <w:rsid w:val="7D6666F7"/>
    <w:rsid w:val="7DFB507C"/>
    <w:rsid w:val="7EA34EE5"/>
    <w:rsid w:val="7EDF1C71"/>
    <w:rsid w:val="8FBF0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ascii="Calibri" w:hAnsi="Calibri" w:eastAsia="方正小标宋简体" w:cs="Times New Roman"/>
      <w:b/>
      <w:color w:val="auto"/>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character" w:styleId="6">
    <w:name w:val="page number"/>
    <w:basedOn w:val="5"/>
    <w:unhideWhenUsed/>
    <w:qFormat/>
    <w:uiPriority w:val="9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12867</Words>
  <Characters>12980</Characters>
  <Lines>0</Lines>
  <Paragraphs>0</Paragraphs>
  <TotalTime>0</TotalTime>
  <ScaleCrop>false</ScaleCrop>
  <LinksUpToDate>false</LinksUpToDate>
  <CharactersWithSpaces>13000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2022-09-13T15:04:00Z</dcterms:created>
  <dc:creator>ybj.ybj-PC</dc:creator>
  <cp:lastModifiedBy>刘一琳</cp:lastModifiedBy>
  <dcterms:modified xsi:type="dcterms:W3CDTF">2022-11-30T02:29:22Z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B55F062B2CF64659836FDDE8927FADFC</vt:lpwstr>
  </property>
</Properties>
</file>